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256AD7" w14:textId="58A2BD66" w:rsidR="00DA0AD5" w:rsidRPr="004C2B19" w:rsidRDefault="00F1070B" w:rsidP="004C2B19">
      <w:pPr>
        <w:spacing w:line="360" w:lineRule="auto"/>
        <w:jc w:val="center"/>
        <w:rPr>
          <w:rFonts w:ascii="Times New Roman" w:hAnsi="Times New Roman" w:cs="Times New Roman"/>
          <w:b/>
          <w:sz w:val="24"/>
          <w:szCs w:val="24"/>
        </w:rPr>
      </w:pPr>
      <w:bookmarkStart w:id="0" w:name="_GoBack"/>
      <w:bookmarkEnd w:id="0"/>
      <w:r w:rsidRPr="004C2B19">
        <w:rPr>
          <w:rFonts w:ascii="Times New Roman" w:hAnsi="Times New Roman" w:cs="Times New Roman"/>
          <w:b/>
          <w:sz w:val="24"/>
          <w:szCs w:val="24"/>
        </w:rPr>
        <w:t>REGULACION DE TASAS</w:t>
      </w:r>
      <w:r w:rsidR="008776F2" w:rsidRPr="004C2B19">
        <w:rPr>
          <w:rFonts w:ascii="Times New Roman" w:hAnsi="Times New Roman" w:cs="Times New Roman"/>
          <w:b/>
          <w:sz w:val="24"/>
          <w:szCs w:val="24"/>
        </w:rPr>
        <w:t xml:space="preserve"> DE INTERES</w:t>
      </w:r>
      <w:r w:rsidRPr="004C2B19">
        <w:rPr>
          <w:rFonts w:ascii="Times New Roman" w:hAnsi="Times New Roman" w:cs="Times New Roman"/>
          <w:b/>
          <w:sz w:val="24"/>
          <w:szCs w:val="24"/>
        </w:rPr>
        <w:t xml:space="preserve"> Y CUPOS DE CARTERA</w:t>
      </w:r>
      <w:r w:rsidR="00DE779F" w:rsidRPr="004C2B19">
        <w:rPr>
          <w:rFonts w:ascii="Times New Roman" w:hAnsi="Times New Roman" w:cs="Times New Roman"/>
          <w:b/>
          <w:sz w:val="24"/>
          <w:szCs w:val="24"/>
        </w:rPr>
        <w:t xml:space="preserve"> EN EL SISTEMA FINANCIERO</w:t>
      </w:r>
      <w:r w:rsidR="00F84B61" w:rsidRPr="004C2B19">
        <w:rPr>
          <w:rFonts w:ascii="Times New Roman" w:hAnsi="Times New Roman" w:cs="Times New Roman"/>
          <w:b/>
          <w:sz w:val="24"/>
          <w:szCs w:val="24"/>
        </w:rPr>
        <w:t xml:space="preserve"> BOLIVIANO</w:t>
      </w:r>
    </w:p>
    <w:p w14:paraId="4A769003" w14:textId="417FA326" w:rsidR="00162E92" w:rsidRPr="004C2B19" w:rsidRDefault="00162E92" w:rsidP="004C2B19">
      <w:pPr>
        <w:spacing w:line="360" w:lineRule="auto"/>
        <w:jc w:val="center"/>
        <w:rPr>
          <w:rFonts w:ascii="Times New Roman" w:hAnsi="Times New Roman" w:cs="Times New Roman"/>
          <w:b/>
          <w:sz w:val="24"/>
          <w:szCs w:val="24"/>
          <w:lang w:val="en-US"/>
        </w:rPr>
      </w:pPr>
      <w:r w:rsidRPr="004C2B19">
        <w:rPr>
          <w:rFonts w:ascii="Times New Roman" w:hAnsi="Times New Roman" w:cs="Times New Roman"/>
          <w:b/>
          <w:sz w:val="24"/>
          <w:szCs w:val="24"/>
          <w:lang w:val="en-US"/>
        </w:rPr>
        <w:t>REGULATION OF INTEREST RATES AND PORTAFOLIO QUOTAS IN THE BOLIVIAN FINANCIAL SISTEM</w:t>
      </w:r>
    </w:p>
    <w:p w14:paraId="7F256AD8" w14:textId="77777777" w:rsidR="00DE779F" w:rsidRPr="004C2B19" w:rsidRDefault="00593215" w:rsidP="004C2B19">
      <w:pPr>
        <w:spacing w:after="0" w:line="360" w:lineRule="auto"/>
        <w:jc w:val="right"/>
        <w:rPr>
          <w:rFonts w:ascii="Times New Roman" w:hAnsi="Times New Roman" w:cs="Times New Roman"/>
          <w:sz w:val="24"/>
          <w:szCs w:val="24"/>
        </w:rPr>
      </w:pPr>
      <w:r w:rsidRPr="004C2B19">
        <w:rPr>
          <w:rFonts w:ascii="Times New Roman" w:hAnsi="Times New Roman" w:cs="Times New Roman"/>
          <w:sz w:val="24"/>
          <w:szCs w:val="24"/>
        </w:rPr>
        <w:t>Autor</w:t>
      </w:r>
      <w:r w:rsidR="001A332F" w:rsidRPr="004C2B19">
        <w:rPr>
          <w:rFonts w:ascii="Times New Roman" w:hAnsi="Times New Roman" w:cs="Times New Roman"/>
          <w:sz w:val="24"/>
          <w:szCs w:val="24"/>
        </w:rPr>
        <w:t>es</w:t>
      </w:r>
      <w:r w:rsidRPr="004C2B19">
        <w:rPr>
          <w:rFonts w:ascii="Times New Roman" w:hAnsi="Times New Roman" w:cs="Times New Roman"/>
          <w:sz w:val="24"/>
          <w:szCs w:val="24"/>
        </w:rPr>
        <w:t>:  Virginio Avila</w:t>
      </w:r>
    </w:p>
    <w:p w14:paraId="7F256AD9" w14:textId="12AD114A" w:rsidR="00593215" w:rsidRDefault="00593215" w:rsidP="004C2B19">
      <w:pPr>
        <w:spacing w:after="0" w:line="360" w:lineRule="auto"/>
        <w:jc w:val="right"/>
        <w:rPr>
          <w:rFonts w:ascii="Times New Roman" w:hAnsi="Times New Roman" w:cs="Times New Roman"/>
          <w:sz w:val="24"/>
          <w:szCs w:val="24"/>
        </w:rPr>
      </w:pPr>
    </w:p>
    <w:p w14:paraId="1C86CA91" w14:textId="77777777" w:rsidR="00F35086" w:rsidRDefault="00F35086" w:rsidP="001271BF">
      <w:pPr>
        <w:spacing w:after="0" w:line="360" w:lineRule="auto"/>
        <w:jc w:val="both"/>
        <w:rPr>
          <w:rFonts w:ascii="Times New Roman" w:hAnsi="Times New Roman" w:cs="Times New Roman"/>
          <w:b/>
          <w:sz w:val="24"/>
          <w:szCs w:val="24"/>
        </w:rPr>
      </w:pPr>
    </w:p>
    <w:p w14:paraId="37A74339" w14:textId="77777777" w:rsidR="00F35086" w:rsidRDefault="00F35086" w:rsidP="00F35086">
      <w:pPr>
        <w:spacing w:after="0" w:line="360" w:lineRule="auto"/>
        <w:rPr>
          <w:rFonts w:ascii="Times New Roman" w:hAnsi="Times New Roman" w:cs="Times New Roman"/>
          <w:sz w:val="24"/>
          <w:szCs w:val="24"/>
        </w:rPr>
      </w:pPr>
      <w:r w:rsidRPr="00B13600">
        <w:rPr>
          <w:rFonts w:ascii="Times New Roman" w:hAnsi="Times New Roman" w:cs="Times New Roman"/>
          <w:b/>
          <w:sz w:val="24"/>
          <w:szCs w:val="24"/>
        </w:rPr>
        <w:t>Palabras Clave:</w:t>
      </w:r>
      <w:r w:rsidRPr="00B13600">
        <w:rPr>
          <w:rFonts w:ascii="Times New Roman" w:hAnsi="Times New Roman" w:cs="Times New Roman"/>
          <w:sz w:val="24"/>
          <w:szCs w:val="24"/>
        </w:rPr>
        <w:t xml:space="preserve"> Regulación, tasas de interés, cartera, cupos</w:t>
      </w:r>
      <w:r>
        <w:rPr>
          <w:rFonts w:ascii="Times New Roman" w:hAnsi="Times New Roman" w:cs="Times New Roman"/>
          <w:sz w:val="24"/>
          <w:szCs w:val="24"/>
        </w:rPr>
        <w:t>, sostenibilidad</w:t>
      </w:r>
    </w:p>
    <w:p w14:paraId="65B6F024" w14:textId="77777777" w:rsidR="001271BF" w:rsidRPr="001271BF" w:rsidRDefault="001271BF" w:rsidP="001271BF">
      <w:pPr>
        <w:spacing w:after="0" w:line="360" w:lineRule="auto"/>
        <w:jc w:val="both"/>
        <w:rPr>
          <w:rFonts w:ascii="Times New Roman" w:hAnsi="Times New Roman" w:cs="Times New Roman"/>
          <w:b/>
          <w:sz w:val="24"/>
          <w:szCs w:val="24"/>
        </w:rPr>
      </w:pPr>
      <w:r w:rsidRPr="001271BF">
        <w:rPr>
          <w:rFonts w:ascii="Times New Roman" w:hAnsi="Times New Roman" w:cs="Times New Roman"/>
          <w:b/>
          <w:sz w:val="24"/>
          <w:szCs w:val="24"/>
        </w:rPr>
        <w:t>Resumen</w:t>
      </w:r>
    </w:p>
    <w:p w14:paraId="36278BD7"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rPr>
      </w:pPr>
      <w:r w:rsidRPr="001271BF">
        <w:rPr>
          <w:rFonts w:ascii="Times New Roman" w:hAnsi="Times New Roman" w:cs="Times New Roman"/>
          <w:sz w:val="24"/>
          <w:szCs w:val="24"/>
        </w:rPr>
        <w:t xml:space="preserve">Evaluamos si las medidas de regulación de tasas y cupos de cartera en Bolivia, contribuyen a lograr los objetivos de la ley  de servicios financieros de facilitar el acceso universal y asegurar su sostenibilidad,  con este fin analizamos datos empíricos de los últimos 7 años comparando las medias de crecimiento antes y después de las medidas. </w:t>
      </w:r>
    </w:p>
    <w:p w14:paraId="262C8D20"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rPr>
      </w:pPr>
      <w:r w:rsidRPr="001271BF">
        <w:rPr>
          <w:rFonts w:ascii="Times New Roman" w:hAnsi="Times New Roman" w:cs="Times New Roman"/>
          <w:sz w:val="24"/>
          <w:szCs w:val="24"/>
        </w:rPr>
        <w:t>Los resultados muestran que hay un incremento  promedio de la tasa de crecimiento de las carteras de vivienda y  al sector productivo después de las medidas, en este último sector se logra en buena parte por la reclasificación de cartera realizada por los bancos para poder cumplir los cupos obligatorios. Por otra parte todas las  demás variables relevantes del sistema financiero  muestran tasas promedio de crecimiento menores después de las medidas.</w:t>
      </w:r>
    </w:p>
    <w:p w14:paraId="162ECC2F"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rPr>
      </w:pPr>
      <w:r w:rsidRPr="001271BF">
        <w:rPr>
          <w:rFonts w:ascii="Times New Roman" w:hAnsi="Times New Roman" w:cs="Times New Roman"/>
          <w:sz w:val="24"/>
          <w:szCs w:val="24"/>
        </w:rPr>
        <w:t xml:space="preserve">Podemos concluir que  las medidas implementadas se contraponen al objetivo de facilitar el acceso universal a servicios financieros ya que generan el efecto de concentrar la cartera en Bancos múltiples, afectando la sostenibilidad de las IFDs, instituciones que atienden a sectores marginales. </w:t>
      </w:r>
    </w:p>
    <w:p w14:paraId="3468DC9D" w14:textId="77777777" w:rsidR="00F35086" w:rsidRPr="001E7DB8" w:rsidRDefault="00F35086" w:rsidP="001271BF">
      <w:pPr>
        <w:tabs>
          <w:tab w:val="left" w:pos="6082"/>
        </w:tabs>
        <w:spacing w:after="0" w:line="360" w:lineRule="auto"/>
        <w:jc w:val="both"/>
        <w:rPr>
          <w:rFonts w:ascii="Times New Roman" w:hAnsi="Times New Roman" w:cs="Times New Roman"/>
          <w:b/>
          <w:sz w:val="24"/>
          <w:szCs w:val="24"/>
        </w:rPr>
      </w:pPr>
    </w:p>
    <w:p w14:paraId="31A8AEF6" w14:textId="77777777" w:rsidR="00F35086" w:rsidRPr="00F35086" w:rsidRDefault="00F35086" w:rsidP="00F35086">
      <w:pPr>
        <w:spacing w:after="0" w:line="360" w:lineRule="auto"/>
        <w:rPr>
          <w:rFonts w:ascii="Times New Roman" w:hAnsi="Times New Roman" w:cs="Times New Roman"/>
          <w:sz w:val="24"/>
          <w:szCs w:val="24"/>
          <w:lang w:val="en-US"/>
        </w:rPr>
      </w:pPr>
      <w:r w:rsidRPr="00F35086">
        <w:rPr>
          <w:rFonts w:ascii="Times New Roman" w:hAnsi="Times New Roman" w:cs="Times New Roman"/>
          <w:b/>
          <w:sz w:val="24"/>
          <w:szCs w:val="24"/>
          <w:lang w:val="en-US"/>
        </w:rPr>
        <w:t>Key Words</w:t>
      </w:r>
      <w:r w:rsidRPr="00F35086">
        <w:rPr>
          <w:rFonts w:ascii="Times New Roman" w:hAnsi="Times New Roman" w:cs="Times New Roman"/>
          <w:sz w:val="24"/>
          <w:szCs w:val="24"/>
          <w:lang w:val="en-US"/>
        </w:rPr>
        <w:t xml:space="preserve">: Regulation, Interest Rates, </w:t>
      </w:r>
      <w:r>
        <w:rPr>
          <w:rFonts w:ascii="Times New Roman" w:hAnsi="Times New Roman" w:cs="Times New Roman"/>
          <w:sz w:val="24"/>
          <w:szCs w:val="24"/>
          <w:lang w:val="en-US"/>
        </w:rPr>
        <w:t>Portfolio, Quotas, Sustainability</w:t>
      </w:r>
    </w:p>
    <w:p w14:paraId="1C5BEC76" w14:textId="77777777" w:rsidR="001271BF" w:rsidRPr="001271BF" w:rsidRDefault="001271BF" w:rsidP="001271BF">
      <w:pPr>
        <w:tabs>
          <w:tab w:val="left" w:pos="6082"/>
        </w:tabs>
        <w:spacing w:after="0" w:line="360" w:lineRule="auto"/>
        <w:jc w:val="both"/>
        <w:rPr>
          <w:rFonts w:ascii="Times New Roman" w:hAnsi="Times New Roman" w:cs="Times New Roman"/>
          <w:b/>
          <w:sz w:val="24"/>
          <w:szCs w:val="24"/>
          <w:lang w:val="en-US"/>
        </w:rPr>
      </w:pPr>
      <w:r w:rsidRPr="001271BF">
        <w:rPr>
          <w:rFonts w:ascii="Times New Roman" w:hAnsi="Times New Roman" w:cs="Times New Roman"/>
          <w:b/>
          <w:sz w:val="24"/>
          <w:szCs w:val="24"/>
          <w:lang w:val="en-US"/>
        </w:rPr>
        <w:t>Abstract</w:t>
      </w:r>
    </w:p>
    <w:p w14:paraId="0D8B25FD"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lang w:val="en-US"/>
        </w:rPr>
      </w:pPr>
      <w:r w:rsidRPr="001271BF">
        <w:rPr>
          <w:rFonts w:ascii="Times New Roman" w:hAnsi="Times New Roman" w:cs="Times New Roman"/>
          <w:sz w:val="24"/>
          <w:szCs w:val="24"/>
          <w:lang w:val="en-US"/>
        </w:rPr>
        <w:t>We evaluate whether measures of regulation of rates and allotments of portfolio in Bolivia, contribute to achieving the objectives of the  financial services law to facilitate universal access and ensure its sustainability, with this purpose we analyze empirical data of the last 7 years, comparing to growth  averages before and after measures.</w:t>
      </w:r>
    </w:p>
    <w:p w14:paraId="2E3D1A73"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lang w:val="en-US"/>
        </w:rPr>
      </w:pPr>
      <w:r w:rsidRPr="001271BF">
        <w:rPr>
          <w:rFonts w:ascii="Times New Roman" w:hAnsi="Times New Roman" w:cs="Times New Roman"/>
          <w:sz w:val="24"/>
          <w:szCs w:val="24"/>
          <w:lang w:val="en-US"/>
        </w:rPr>
        <w:t xml:space="preserve">The results show that there is an average increase of the rate of growth of the portfolio of housing and the productive sector after the measures, in this last sector is achieved in </w:t>
      </w:r>
      <w:r w:rsidRPr="001271BF">
        <w:rPr>
          <w:rFonts w:ascii="Times New Roman" w:hAnsi="Times New Roman" w:cs="Times New Roman"/>
          <w:sz w:val="24"/>
          <w:szCs w:val="24"/>
          <w:lang w:val="en-US"/>
        </w:rPr>
        <w:lastRenderedPageBreak/>
        <w:t>large part by the reclassification of portfolio held by the banks to be able meet mandatory quotas. On the other hand all other relevant variables from the financial system are lower after the average growth rates.</w:t>
      </w:r>
    </w:p>
    <w:p w14:paraId="792C88D0" w14:textId="77777777" w:rsidR="001271BF" w:rsidRPr="001271BF" w:rsidRDefault="001271BF" w:rsidP="001271BF">
      <w:pPr>
        <w:tabs>
          <w:tab w:val="left" w:pos="6082"/>
        </w:tabs>
        <w:spacing w:after="0" w:line="360" w:lineRule="auto"/>
        <w:jc w:val="both"/>
        <w:rPr>
          <w:rFonts w:ascii="Times New Roman" w:hAnsi="Times New Roman" w:cs="Times New Roman"/>
          <w:sz w:val="24"/>
          <w:szCs w:val="24"/>
          <w:lang w:val="en-US"/>
        </w:rPr>
      </w:pPr>
      <w:r w:rsidRPr="001271BF">
        <w:rPr>
          <w:rFonts w:ascii="Times New Roman" w:hAnsi="Times New Roman" w:cs="Times New Roman"/>
          <w:sz w:val="24"/>
          <w:szCs w:val="24"/>
          <w:lang w:val="en-US"/>
        </w:rPr>
        <w:t>We can conclude that the implemented measures are opposed to the objective of facilitating universal access to financial services, because they generate the effect of focus the portfolio on multiple banks, affecting the sustainability of the IFDs, institutions that cater to marginal sectors.</w:t>
      </w:r>
    </w:p>
    <w:p w14:paraId="42812AA0" w14:textId="77777777" w:rsidR="00B5656C" w:rsidRPr="00F35086" w:rsidRDefault="00B5656C" w:rsidP="001271BF">
      <w:pPr>
        <w:spacing w:after="0" w:line="360" w:lineRule="auto"/>
        <w:rPr>
          <w:rFonts w:ascii="Times New Roman" w:hAnsi="Times New Roman" w:cs="Times New Roman"/>
          <w:sz w:val="24"/>
          <w:szCs w:val="24"/>
          <w:lang w:val="en-US"/>
        </w:rPr>
      </w:pPr>
    </w:p>
    <w:p w14:paraId="704D1CB4" w14:textId="77777777" w:rsidR="00B5656C" w:rsidRPr="00F35086" w:rsidRDefault="00B5656C" w:rsidP="001271BF">
      <w:pPr>
        <w:spacing w:after="0" w:line="360" w:lineRule="auto"/>
        <w:rPr>
          <w:rFonts w:ascii="Times New Roman" w:hAnsi="Times New Roman" w:cs="Times New Roman"/>
          <w:sz w:val="24"/>
          <w:szCs w:val="24"/>
          <w:lang w:val="en-US"/>
        </w:rPr>
      </w:pPr>
    </w:p>
    <w:p w14:paraId="59532AC3" w14:textId="77777777" w:rsidR="00B5656C" w:rsidRPr="00F35086" w:rsidRDefault="00B5656C" w:rsidP="001271BF">
      <w:pPr>
        <w:spacing w:after="0" w:line="360" w:lineRule="auto"/>
        <w:rPr>
          <w:rFonts w:ascii="Times New Roman" w:hAnsi="Times New Roman" w:cs="Times New Roman"/>
          <w:sz w:val="24"/>
          <w:szCs w:val="24"/>
          <w:lang w:val="en-US"/>
        </w:rPr>
      </w:pPr>
    </w:p>
    <w:p w14:paraId="669C60F7" w14:textId="77777777" w:rsidR="00B5656C" w:rsidRPr="00F35086" w:rsidRDefault="00B5656C" w:rsidP="001271BF">
      <w:pPr>
        <w:spacing w:after="0" w:line="360" w:lineRule="auto"/>
        <w:rPr>
          <w:rFonts w:ascii="Times New Roman" w:hAnsi="Times New Roman" w:cs="Times New Roman"/>
          <w:sz w:val="24"/>
          <w:szCs w:val="24"/>
          <w:lang w:val="en-US"/>
        </w:rPr>
      </w:pPr>
    </w:p>
    <w:p w14:paraId="1840D3AD" w14:textId="77777777" w:rsidR="00B5656C" w:rsidRPr="00F35086" w:rsidRDefault="00B5656C" w:rsidP="001271BF">
      <w:pPr>
        <w:spacing w:after="0" w:line="360" w:lineRule="auto"/>
        <w:rPr>
          <w:rFonts w:ascii="Times New Roman" w:hAnsi="Times New Roman" w:cs="Times New Roman"/>
          <w:sz w:val="24"/>
          <w:szCs w:val="24"/>
          <w:lang w:val="en-US"/>
        </w:rPr>
      </w:pPr>
    </w:p>
    <w:p w14:paraId="0A055590" w14:textId="77777777" w:rsidR="00B5656C" w:rsidRPr="00F35086" w:rsidRDefault="00B5656C" w:rsidP="001271BF">
      <w:pPr>
        <w:spacing w:after="0" w:line="360" w:lineRule="auto"/>
        <w:rPr>
          <w:rFonts w:ascii="Times New Roman" w:hAnsi="Times New Roman" w:cs="Times New Roman"/>
          <w:sz w:val="24"/>
          <w:szCs w:val="24"/>
          <w:lang w:val="en-US"/>
        </w:rPr>
      </w:pPr>
    </w:p>
    <w:p w14:paraId="09B03442" w14:textId="77777777" w:rsidR="00B5656C" w:rsidRPr="00F35086" w:rsidRDefault="00B5656C" w:rsidP="001271BF">
      <w:pPr>
        <w:spacing w:after="0" w:line="360" w:lineRule="auto"/>
        <w:rPr>
          <w:rFonts w:ascii="Times New Roman" w:hAnsi="Times New Roman" w:cs="Times New Roman"/>
          <w:sz w:val="24"/>
          <w:szCs w:val="24"/>
          <w:lang w:val="en-US"/>
        </w:rPr>
      </w:pPr>
    </w:p>
    <w:p w14:paraId="47D16B45" w14:textId="77777777" w:rsidR="00B5656C" w:rsidRPr="00F35086" w:rsidRDefault="00B5656C" w:rsidP="001271BF">
      <w:pPr>
        <w:spacing w:after="0" w:line="360" w:lineRule="auto"/>
        <w:rPr>
          <w:rFonts w:ascii="Times New Roman" w:hAnsi="Times New Roman" w:cs="Times New Roman"/>
          <w:sz w:val="24"/>
          <w:szCs w:val="24"/>
          <w:lang w:val="en-US"/>
        </w:rPr>
      </w:pPr>
    </w:p>
    <w:p w14:paraId="480CFEBF" w14:textId="77777777" w:rsidR="00B5656C" w:rsidRPr="00F35086" w:rsidRDefault="00B5656C" w:rsidP="001271BF">
      <w:pPr>
        <w:spacing w:after="0" w:line="360" w:lineRule="auto"/>
        <w:rPr>
          <w:rFonts w:ascii="Times New Roman" w:hAnsi="Times New Roman" w:cs="Times New Roman"/>
          <w:sz w:val="24"/>
          <w:szCs w:val="24"/>
          <w:lang w:val="en-US"/>
        </w:rPr>
      </w:pPr>
    </w:p>
    <w:p w14:paraId="3595C692" w14:textId="77777777" w:rsidR="00B5656C" w:rsidRPr="00F35086" w:rsidRDefault="00B5656C" w:rsidP="001271BF">
      <w:pPr>
        <w:spacing w:after="0" w:line="360" w:lineRule="auto"/>
        <w:rPr>
          <w:rFonts w:ascii="Times New Roman" w:hAnsi="Times New Roman" w:cs="Times New Roman"/>
          <w:sz w:val="24"/>
          <w:szCs w:val="24"/>
          <w:lang w:val="en-US"/>
        </w:rPr>
      </w:pPr>
    </w:p>
    <w:p w14:paraId="4DEF9911" w14:textId="77777777" w:rsidR="00B5656C" w:rsidRPr="00F35086" w:rsidRDefault="00B5656C" w:rsidP="001271BF">
      <w:pPr>
        <w:spacing w:after="0" w:line="360" w:lineRule="auto"/>
        <w:rPr>
          <w:rFonts w:ascii="Times New Roman" w:hAnsi="Times New Roman" w:cs="Times New Roman"/>
          <w:sz w:val="24"/>
          <w:szCs w:val="24"/>
          <w:lang w:val="en-US"/>
        </w:rPr>
      </w:pPr>
    </w:p>
    <w:p w14:paraId="7BD00CB2" w14:textId="77777777" w:rsidR="00B5656C" w:rsidRPr="00F35086" w:rsidRDefault="00B5656C" w:rsidP="001271BF">
      <w:pPr>
        <w:spacing w:after="0" w:line="360" w:lineRule="auto"/>
        <w:rPr>
          <w:rFonts w:ascii="Times New Roman" w:hAnsi="Times New Roman" w:cs="Times New Roman"/>
          <w:sz w:val="24"/>
          <w:szCs w:val="24"/>
          <w:lang w:val="en-US"/>
        </w:rPr>
      </w:pPr>
    </w:p>
    <w:p w14:paraId="7783FB9A" w14:textId="77777777" w:rsidR="00B5656C" w:rsidRPr="00F35086" w:rsidRDefault="00B5656C" w:rsidP="001271BF">
      <w:pPr>
        <w:spacing w:after="0" w:line="360" w:lineRule="auto"/>
        <w:rPr>
          <w:rFonts w:ascii="Times New Roman" w:hAnsi="Times New Roman" w:cs="Times New Roman"/>
          <w:sz w:val="24"/>
          <w:szCs w:val="24"/>
          <w:lang w:val="en-US"/>
        </w:rPr>
      </w:pPr>
    </w:p>
    <w:p w14:paraId="1D58355D" w14:textId="77777777" w:rsidR="00B5656C" w:rsidRPr="00F35086" w:rsidRDefault="00B5656C" w:rsidP="001271BF">
      <w:pPr>
        <w:spacing w:after="0" w:line="360" w:lineRule="auto"/>
        <w:rPr>
          <w:rFonts w:ascii="Times New Roman" w:hAnsi="Times New Roman" w:cs="Times New Roman"/>
          <w:sz w:val="24"/>
          <w:szCs w:val="24"/>
          <w:lang w:val="en-US"/>
        </w:rPr>
      </w:pPr>
    </w:p>
    <w:p w14:paraId="5C03F259" w14:textId="77777777" w:rsidR="00B5656C" w:rsidRPr="00F35086" w:rsidRDefault="00B5656C" w:rsidP="001271BF">
      <w:pPr>
        <w:spacing w:after="0" w:line="360" w:lineRule="auto"/>
        <w:rPr>
          <w:rFonts w:ascii="Times New Roman" w:hAnsi="Times New Roman" w:cs="Times New Roman"/>
          <w:sz w:val="24"/>
          <w:szCs w:val="24"/>
          <w:lang w:val="en-US"/>
        </w:rPr>
      </w:pPr>
    </w:p>
    <w:p w14:paraId="1E7517B3" w14:textId="77777777" w:rsidR="00B5656C" w:rsidRPr="00F35086" w:rsidRDefault="00B5656C" w:rsidP="001271BF">
      <w:pPr>
        <w:spacing w:after="0" w:line="360" w:lineRule="auto"/>
        <w:rPr>
          <w:rFonts w:ascii="Times New Roman" w:hAnsi="Times New Roman" w:cs="Times New Roman"/>
          <w:sz w:val="24"/>
          <w:szCs w:val="24"/>
          <w:lang w:val="en-US"/>
        </w:rPr>
      </w:pPr>
    </w:p>
    <w:p w14:paraId="0D1AFFED" w14:textId="77777777" w:rsidR="00B5656C" w:rsidRPr="00F35086" w:rsidRDefault="00B5656C" w:rsidP="001271BF">
      <w:pPr>
        <w:spacing w:after="0" w:line="360" w:lineRule="auto"/>
        <w:rPr>
          <w:rFonts w:ascii="Times New Roman" w:hAnsi="Times New Roman" w:cs="Times New Roman"/>
          <w:sz w:val="24"/>
          <w:szCs w:val="24"/>
          <w:lang w:val="en-US"/>
        </w:rPr>
      </w:pPr>
    </w:p>
    <w:p w14:paraId="5FD8EF07" w14:textId="77777777" w:rsidR="00B5656C" w:rsidRPr="00F35086" w:rsidRDefault="00B5656C" w:rsidP="001271BF">
      <w:pPr>
        <w:spacing w:after="0" w:line="360" w:lineRule="auto"/>
        <w:rPr>
          <w:rFonts w:ascii="Times New Roman" w:hAnsi="Times New Roman" w:cs="Times New Roman"/>
          <w:sz w:val="24"/>
          <w:szCs w:val="24"/>
          <w:lang w:val="en-US"/>
        </w:rPr>
      </w:pPr>
    </w:p>
    <w:p w14:paraId="2056C7C5" w14:textId="77777777" w:rsidR="00B5656C" w:rsidRPr="00F35086" w:rsidRDefault="00B5656C" w:rsidP="001271BF">
      <w:pPr>
        <w:spacing w:after="0" w:line="360" w:lineRule="auto"/>
        <w:rPr>
          <w:rFonts w:ascii="Times New Roman" w:hAnsi="Times New Roman" w:cs="Times New Roman"/>
          <w:sz w:val="24"/>
          <w:szCs w:val="24"/>
          <w:lang w:val="en-US"/>
        </w:rPr>
      </w:pPr>
    </w:p>
    <w:p w14:paraId="3C3A9D72" w14:textId="77777777" w:rsidR="00B5656C" w:rsidRPr="00F35086" w:rsidRDefault="00B5656C" w:rsidP="001271BF">
      <w:pPr>
        <w:spacing w:after="0" w:line="360" w:lineRule="auto"/>
        <w:rPr>
          <w:rFonts w:ascii="Times New Roman" w:hAnsi="Times New Roman" w:cs="Times New Roman"/>
          <w:sz w:val="24"/>
          <w:szCs w:val="24"/>
          <w:lang w:val="en-US"/>
        </w:rPr>
      </w:pPr>
    </w:p>
    <w:p w14:paraId="2FB6DFD4" w14:textId="77777777" w:rsidR="00B5656C" w:rsidRPr="00F35086" w:rsidRDefault="00B5656C" w:rsidP="001271BF">
      <w:pPr>
        <w:spacing w:after="0" w:line="360" w:lineRule="auto"/>
        <w:rPr>
          <w:rFonts w:ascii="Times New Roman" w:hAnsi="Times New Roman" w:cs="Times New Roman"/>
          <w:sz w:val="24"/>
          <w:szCs w:val="24"/>
          <w:lang w:val="en-US"/>
        </w:rPr>
      </w:pPr>
    </w:p>
    <w:p w14:paraId="15B59173" w14:textId="77777777" w:rsidR="00B5656C" w:rsidRPr="00F35086" w:rsidRDefault="00B5656C" w:rsidP="001271BF">
      <w:pPr>
        <w:spacing w:after="0" w:line="360" w:lineRule="auto"/>
        <w:rPr>
          <w:rFonts w:ascii="Times New Roman" w:hAnsi="Times New Roman" w:cs="Times New Roman"/>
          <w:sz w:val="24"/>
          <w:szCs w:val="24"/>
          <w:lang w:val="en-US"/>
        </w:rPr>
      </w:pPr>
    </w:p>
    <w:p w14:paraId="71999C8D" w14:textId="77777777" w:rsidR="00B5656C" w:rsidRPr="00F35086" w:rsidRDefault="00B5656C" w:rsidP="001271BF">
      <w:pPr>
        <w:spacing w:after="0" w:line="360" w:lineRule="auto"/>
        <w:rPr>
          <w:rFonts w:ascii="Times New Roman" w:hAnsi="Times New Roman" w:cs="Times New Roman"/>
          <w:sz w:val="24"/>
          <w:szCs w:val="24"/>
          <w:lang w:val="en-US"/>
        </w:rPr>
      </w:pPr>
    </w:p>
    <w:p w14:paraId="2D17BAC5" w14:textId="77777777" w:rsidR="00B5656C" w:rsidRPr="00F35086" w:rsidRDefault="00B5656C" w:rsidP="001271BF">
      <w:pPr>
        <w:spacing w:after="0" w:line="360" w:lineRule="auto"/>
        <w:rPr>
          <w:rFonts w:ascii="Times New Roman" w:hAnsi="Times New Roman" w:cs="Times New Roman"/>
          <w:sz w:val="24"/>
          <w:szCs w:val="24"/>
          <w:lang w:val="en-US"/>
        </w:rPr>
      </w:pPr>
    </w:p>
    <w:p w14:paraId="0264E0A0" w14:textId="77777777" w:rsidR="00B5656C" w:rsidRPr="00F35086" w:rsidRDefault="00B5656C" w:rsidP="001271BF">
      <w:pPr>
        <w:spacing w:after="0" w:line="360" w:lineRule="auto"/>
        <w:rPr>
          <w:rFonts w:ascii="Times New Roman" w:hAnsi="Times New Roman" w:cs="Times New Roman"/>
          <w:sz w:val="24"/>
          <w:szCs w:val="24"/>
          <w:lang w:val="en-US"/>
        </w:rPr>
      </w:pPr>
    </w:p>
    <w:p w14:paraId="7F256ADA" w14:textId="77777777" w:rsidR="00603FFA" w:rsidRPr="004C2B19" w:rsidRDefault="00603FFA" w:rsidP="004C2B19">
      <w:pPr>
        <w:pStyle w:val="Prrafodelista"/>
        <w:numPr>
          <w:ilvl w:val="0"/>
          <w:numId w:val="8"/>
        </w:numPr>
        <w:spacing w:line="360" w:lineRule="auto"/>
        <w:rPr>
          <w:rFonts w:ascii="Times New Roman" w:hAnsi="Times New Roman" w:cs="Times New Roman"/>
          <w:b/>
          <w:sz w:val="24"/>
          <w:szCs w:val="24"/>
        </w:rPr>
      </w:pPr>
      <w:r w:rsidRPr="004C2B19">
        <w:rPr>
          <w:rFonts w:ascii="Times New Roman" w:hAnsi="Times New Roman" w:cs="Times New Roman"/>
          <w:b/>
          <w:sz w:val="24"/>
          <w:szCs w:val="24"/>
        </w:rPr>
        <w:t>Introducción</w:t>
      </w:r>
    </w:p>
    <w:p w14:paraId="7F256ADB" w14:textId="71F20A68" w:rsidR="00112EF8" w:rsidRPr="004C2B19" w:rsidRDefault="00112EF8" w:rsidP="004C2B19">
      <w:pPr>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El contexto económico que rige en Bolivia ha cambiado de manera radical en los últimos 10 años. Así de un modelo liberal en el que el estado desempeñaba un rol supervisor, regulador y promotor del desarrollo, con liberalización financiera y comercial, a un modelo denominado de economía plural, social y comunitaria en el que el estado busca concentrar el poder para intervenir de manera directa en la economía incluso como productor, empresario y prestador de servicios. El sistema financiero</w:t>
      </w:r>
      <w:r w:rsidR="008776F2" w:rsidRPr="004C2B19">
        <w:rPr>
          <w:rFonts w:ascii="Times New Roman" w:hAnsi="Times New Roman" w:cs="Times New Roman"/>
          <w:sz w:val="24"/>
          <w:szCs w:val="24"/>
        </w:rPr>
        <w:t xml:space="preserve"> como</w:t>
      </w:r>
      <w:r w:rsidR="001F373B" w:rsidRPr="004C2B19">
        <w:rPr>
          <w:rFonts w:ascii="Times New Roman" w:hAnsi="Times New Roman" w:cs="Times New Roman"/>
          <w:sz w:val="24"/>
          <w:szCs w:val="24"/>
        </w:rPr>
        <w:t xml:space="preserve"> sector estratégico para el desarrollo,</w:t>
      </w:r>
      <w:r w:rsidRPr="004C2B19">
        <w:rPr>
          <w:rFonts w:ascii="Times New Roman" w:hAnsi="Times New Roman" w:cs="Times New Roman"/>
          <w:sz w:val="24"/>
          <w:szCs w:val="24"/>
        </w:rPr>
        <w:t xml:space="preserve"> es también afectado por el nuevo modelo, siendo las principales medidas en este ámbito: </w:t>
      </w:r>
    </w:p>
    <w:p w14:paraId="7F256ADC" w14:textId="7D6A8811" w:rsidR="00112EF8" w:rsidRPr="004C2B19" w:rsidRDefault="00112EF8" w:rsidP="004C2B19">
      <w:pPr>
        <w:shd w:val="clear" w:color="auto" w:fill="FFFFFF" w:themeFill="background1"/>
        <w:spacing w:after="0" w:line="360" w:lineRule="auto"/>
        <w:jc w:val="both"/>
        <w:rPr>
          <w:rFonts w:ascii="Times New Roman" w:hAnsi="Times New Roman" w:cs="Times New Roman"/>
          <w:sz w:val="24"/>
          <w:szCs w:val="24"/>
          <w:lang w:eastAsia="es-BO"/>
        </w:rPr>
      </w:pPr>
      <w:r w:rsidRPr="004C2B19">
        <w:rPr>
          <w:rFonts w:ascii="Times New Roman" w:hAnsi="Times New Roman" w:cs="Times New Roman"/>
          <w:sz w:val="24"/>
          <w:szCs w:val="24"/>
        </w:rPr>
        <w:t>La  creación de  la autoridad de supervisión del sistema financiero ASFI</w:t>
      </w:r>
      <w:r w:rsidR="007167F1" w:rsidRPr="004C2B19">
        <w:rPr>
          <w:rFonts w:ascii="Times New Roman" w:hAnsi="Times New Roman" w:cs="Times New Roman"/>
          <w:sz w:val="24"/>
          <w:szCs w:val="24"/>
        </w:rPr>
        <w:t xml:space="preserve"> (eliminando la </w:t>
      </w:r>
      <w:r w:rsidR="00754846" w:rsidRPr="004C2B19">
        <w:rPr>
          <w:rFonts w:ascii="Times New Roman" w:hAnsi="Times New Roman" w:cs="Times New Roman"/>
          <w:sz w:val="24"/>
          <w:szCs w:val="24"/>
        </w:rPr>
        <w:t>superintendencia</w:t>
      </w:r>
      <w:r w:rsidR="007167F1" w:rsidRPr="004C2B19">
        <w:rPr>
          <w:rFonts w:ascii="Times New Roman" w:hAnsi="Times New Roman" w:cs="Times New Roman"/>
          <w:sz w:val="24"/>
          <w:szCs w:val="24"/>
        </w:rPr>
        <w:t xml:space="preserve"> de bancos y entidades financieras SBEF)</w:t>
      </w:r>
      <w:r w:rsidR="00765C59" w:rsidRPr="004C2B19">
        <w:rPr>
          <w:rFonts w:ascii="Times New Roman" w:hAnsi="Times New Roman" w:cs="Times New Roman"/>
          <w:sz w:val="24"/>
          <w:szCs w:val="24"/>
        </w:rPr>
        <w:t xml:space="preserve"> por D</w:t>
      </w:r>
      <w:r w:rsidRPr="004C2B19">
        <w:rPr>
          <w:rFonts w:ascii="Times New Roman" w:hAnsi="Times New Roman" w:cs="Times New Roman"/>
          <w:sz w:val="24"/>
          <w:szCs w:val="24"/>
        </w:rPr>
        <w:t xml:space="preserve">ecreto </w:t>
      </w:r>
      <w:r w:rsidR="00765C59" w:rsidRPr="004C2B19">
        <w:rPr>
          <w:rFonts w:ascii="Times New Roman" w:hAnsi="Times New Roman" w:cs="Times New Roman"/>
          <w:sz w:val="24"/>
          <w:szCs w:val="24"/>
        </w:rPr>
        <w:t>S</w:t>
      </w:r>
      <w:r w:rsidRPr="004C2B19">
        <w:rPr>
          <w:rFonts w:ascii="Times New Roman" w:hAnsi="Times New Roman" w:cs="Times New Roman"/>
          <w:sz w:val="24"/>
          <w:szCs w:val="24"/>
        </w:rPr>
        <w:t xml:space="preserve">upremo en 2009 y con director nombrado ad </w:t>
      </w:r>
      <w:r w:rsidR="007167F1" w:rsidRPr="004C2B19">
        <w:rPr>
          <w:rFonts w:ascii="Times New Roman" w:hAnsi="Times New Roman" w:cs="Times New Roman"/>
          <w:sz w:val="24"/>
          <w:szCs w:val="24"/>
        </w:rPr>
        <w:t>ínterin</w:t>
      </w:r>
      <w:r w:rsidRPr="004C2B19">
        <w:rPr>
          <w:rFonts w:ascii="Times New Roman" w:hAnsi="Times New Roman" w:cs="Times New Roman"/>
          <w:sz w:val="24"/>
          <w:szCs w:val="24"/>
        </w:rPr>
        <w:t xml:space="preserve"> por el </w:t>
      </w:r>
      <w:r w:rsidR="007167F1" w:rsidRPr="004C2B19">
        <w:rPr>
          <w:rFonts w:ascii="Times New Roman" w:hAnsi="Times New Roman" w:cs="Times New Roman"/>
          <w:sz w:val="24"/>
          <w:szCs w:val="24"/>
        </w:rPr>
        <w:t>presidente</w:t>
      </w:r>
      <w:r w:rsidRPr="004C2B19">
        <w:rPr>
          <w:rFonts w:ascii="Times New Roman" w:hAnsi="Times New Roman" w:cs="Times New Roman"/>
          <w:sz w:val="24"/>
          <w:szCs w:val="24"/>
        </w:rPr>
        <w:t xml:space="preserve"> del estado</w:t>
      </w:r>
      <w:r w:rsidR="007167F1" w:rsidRPr="004C2B19">
        <w:rPr>
          <w:rFonts w:ascii="Times New Roman" w:hAnsi="Times New Roman" w:cs="Times New Roman"/>
          <w:sz w:val="24"/>
          <w:szCs w:val="24"/>
        </w:rPr>
        <w:t>, mismo que depende del</w:t>
      </w:r>
      <w:r w:rsidR="00765C59" w:rsidRPr="004C2B19">
        <w:rPr>
          <w:rFonts w:ascii="Times New Roman" w:hAnsi="Times New Roman" w:cs="Times New Roman"/>
          <w:sz w:val="24"/>
          <w:szCs w:val="24"/>
        </w:rPr>
        <w:t xml:space="preserve"> M</w:t>
      </w:r>
      <w:r w:rsidRPr="004C2B19">
        <w:rPr>
          <w:rFonts w:ascii="Times New Roman" w:hAnsi="Times New Roman" w:cs="Times New Roman"/>
          <w:sz w:val="24"/>
          <w:szCs w:val="24"/>
        </w:rPr>
        <w:t xml:space="preserve">inisterio de </w:t>
      </w:r>
      <w:r w:rsidR="00765C59" w:rsidRPr="004C2B19">
        <w:rPr>
          <w:rFonts w:ascii="Times New Roman" w:hAnsi="Times New Roman" w:cs="Times New Roman"/>
          <w:sz w:val="24"/>
          <w:szCs w:val="24"/>
        </w:rPr>
        <w:t>Economía P</w:t>
      </w:r>
      <w:r w:rsidRPr="004C2B19">
        <w:rPr>
          <w:rFonts w:ascii="Times New Roman" w:hAnsi="Times New Roman" w:cs="Times New Roman"/>
          <w:sz w:val="24"/>
          <w:szCs w:val="24"/>
        </w:rPr>
        <w:t xml:space="preserve">lural y </w:t>
      </w:r>
      <w:r w:rsidR="00765C59" w:rsidRPr="004C2B19">
        <w:rPr>
          <w:rFonts w:ascii="Times New Roman" w:hAnsi="Times New Roman" w:cs="Times New Roman"/>
          <w:sz w:val="24"/>
          <w:szCs w:val="24"/>
        </w:rPr>
        <w:t>F</w:t>
      </w:r>
      <w:r w:rsidRPr="004C2B19">
        <w:rPr>
          <w:rFonts w:ascii="Times New Roman" w:hAnsi="Times New Roman" w:cs="Times New Roman"/>
          <w:sz w:val="24"/>
          <w:szCs w:val="24"/>
        </w:rPr>
        <w:t xml:space="preserve">inanzas </w:t>
      </w:r>
      <w:r w:rsidR="00765C59" w:rsidRPr="004C2B19">
        <w:rPr>
          <w:rFonts w:ascii="Times New Roman" w:hAnsi="Times New Roman" w:cs="Times New Roman"/>
          <w:sz w:val="24"/>
          <w:szCs w:val="24"/>
        </w:rPr>
        <w:t>P</w:t>
      </w:r>
      <w:r w:rsidRPr="004C2B19">
        <w:rPr>
          <w:rFonts w:ascii="Times New Roman" w:hAnsi="Times New Roman" w:cs="Times New Roman"/>
          <w:sz w:val="24"/>
          <w:szCs w:val="24"/>
        </w:rPr>
        <w:t>úblicas, es decir, depende directamente del órgano ejecutivo, mientras que la SBEF</w:t>
      </w:r>
      <w:r w:rsidRPr="004C2B19">
        <w:rPr>
          <w:rFonts w:ascii="Times New Roman" w:eastAsia="Times New Roman" w:hAnsi="Times New Roman" w:cs="Times New Roman"/>
          <w:color w:val="436976"/>
          <w:sz w:val="24"/>
          <w:szCs w:val="24"/>
          <w:lang w:eastAsia="es-BO"/>
        </w:rPr>
        <w:t xml:space="preserve"> </w:t>
      </w:r>
      <w:r w:rsidRPr="004C2B19">
        <w:rPr>
          <w:rFonts w:ascii="Times New Roman" w:eastAsia="Times New Roman" w:hAnsi="Times New Roman" w:cs="Times New Roman"/>
          <w:color w:val="000000" w:themeColor="text1"/>
          <w:sz w:val="24"/>
          <w:szCs w:val="24"/>
          <w:lang w:eastAsia="es-BO"/>
        </w:rPr>
        <w:t>era una persona jurídica con autonomía económica - administrativa separada de la administración central,</w:t>
      </w:r>
      <w:r w:rsidR="007167F1" w:rsidRPr="004C2B19">
        <w:rPr>
          <w:rFonts w:ascii="Times New Roman" w:eastAsia="Times New Roman" w:hAnsi="Times New Roman" w:cs="Times New Roman"/>
          <w:color w:val="000000" w:themeColor="text1"/>
          <w:sz w:val="24"/>
          <w:szCs w:val="24"/>
          <w:lang w:eastAsia="es-BO"/>
        </w:rPr>
        <w:t xml:space="preserve"> con un superintendente nombrado por 6 años por 2/3 de voto del congreso nacional para garantizar</w:t>
      </w:r>
      <w:r w:rsidR="007167F1" w:rsidRPr="004C2B19">
        <w:rPr>
          <w:rFonts w:ascii="Times New Roman" w:eastAsia="Times New Roman" w:hAnsi="Times New Roman" w:cs="Times New Roman"/>
          <w:color w:val="000000"/>
          <w:sz w:val="24"/>
          <w:szCs w:val="24"/>
          <w:lang w:eastAsia="es-BO"/>
        </w:rPr>
        <w:t xml:space="preserve"> la independencia e imparcialidad en su actuación de acuerdo a la ley</w:t>
      </w:r>
      <w:r w:rsidRPr="004C2B19">
        <w:rPr>
          <w:rFonts w:ascii="Times New Roman" w:eastAsia="Times New Roman" w:hAnsi="Times New Roman" w:cs="Times New Roman"/>
          <w:color w:val="000000" w:themeColor="text1"/>
          <w:sz w:val="24"/>
          <w:szCs w:val="24"/>
          <w:lang w:eastAsia="es-BO"/>
        </w:rPr>
        <w:t xml:space="preserve">. </w:t>
      </w:r>
      <w:sdt>
        <w:sdtPr>
          <w:rPr>
            <w:rFonts w:ascii="Times New Roman" w:hAnsi="Times New Roman" w:cs="Times New Roman"/>
            <w:sz w:val="24"/>
            <w:szCs w:val="24"/>
            <w:lang w:eastAsia="es-BO"/>
          </w:rPr>
          <w:id w:val="-1150826485"/>
          <w:citation/>
        </w:sdtPr>
        <w:sdtEndPr/>
        <w:sdtContent>
          <w:r w:rsidRPr="004C2B19">
            <w:rPr>
              <w:rFonts w:ascii="Times New Roman" w:eastAsia="Times New Roman" w:hAnsi="Times New Roman" w:cs="Times New Roman"/>
              <w:color w:val="000000" w:themeColor="text1"/>
              <w:sz w:val="24"/>
              <w:szCs w:val="24"/>
              <w:lang w:eastAsia="es-BO"/>
            </w:rPr>
            <w:fldChar w:fldCharType="begin"/>
          </w:r>
          <w:r w:rsidRPr="004C2B19">
            <w:rPr>
              <w:rFonts w:ascii="Times New Roman" w:eastAsia="Times New Roman" w:hAnsi="Times New Roman" w:cs="Times New Roman"/>
              <w:color w:val="000000" w:themeColor="text1"/>
              <w:sz w:val="24"/>
              <w:szCs w:val="24"/>
              <w:lang w:eastAsia="es-BO"/>
            </w:rPr>
            <w:instrText xml:space="preserve"> CITATION Xav \l 16394 </w:instrText>
          </w:r>
          <w:r w:rsidRPr="004C2B19">
            <w:rPr>
              <w:rFonts w:ascii="Times New Roman" w:eastAsia="Times New Roman" w:hAnsi="Times New Roman" w:cs="Times New Roman"/>
              <w:color w:val="000000" w:themeColor="text1"/>
              <w:sz w:val="24"/>
              <w:szCs w:val="24"/>
              <w:lang w:eastAsia="es-BO"/>
            </w:rPr>
            <w:fldChar w:fldCharType="separate"/>
          </w:r>
          <w:r w:rsidRPr="004C2B19">
            <w:rPr>
              <w:rFonts w:ascii="Times New Roman" w:eastAsia="Times New Roman" w:hAnsi="Times New Roman" w:cs="Times New Roman"/>
              <w:noProof/>
              <w:color w:val="000000" w:themeColor="text1"/>
              <w:sz w:val="24"/>
              <w:szCs w:val="24"/>
              <w:lang w:eastAsia="es-BO"/>
            </w:rPr>
            <w:t>(Nogales, s.f.)</w:t>
          </w:r>
          <w:r w:rsidRPr="004C2B19">
            <w:rPr>
              <w:rFonts w:ascii="Times New Roman" w:eastAsia="Times New Roman" w:hAnsi="Times New Roman" w:cs="Times New Roman"/>
              <w:color w:val="000000" w:themeColor="text1"/>
              <w:sz w:val="24"/>
              <w:szCs w:val="24"/>
              <w:lang w:eastAsia="es-BO"/>
            </w:rPr>
            <w:fldChar w:fldCharType="end"/>
          </w:r>
        </w:sdtContent>
      </w:sdt>
    </w:p>
    <w:p w14:paraId="7F256ADD" w14:textId="77777777" w:rsidR="00862E8F" w:rsidRPr="004C2B19" w:rsidRDefault="00862E8F" w:rsidP="004C2B19">
      <w:pPr>
        <w:shd w:val="clear" w:color="auto" w:fill="FFFFFF"/>
        <w:spacing w:after="0" w:line="360" w:lineRule="auto"/>
        <w:jc w:val="both"/>
        <w:rPr>
          <w:rFonts w:ascii="Times New Roman" w:eastAsia="Times New Roman" w:hAnsi="Times New Roman" w:cs="Times New Roman"/>
          <w:color w:val="000000"/>
          <w:sz w:val="24"/>
          <w:szCs w:val="24"/>
          <w:lang w:eastAsia="es-BO"/>
        </w:rPr>
      </w:pPr>
    </w:p>
    <w:p w14:paraId="7F256ADE" w14:textId="57553CB2" w:rsidR="00112EF8" w:rsidRPr="004C2B19" w:rsidRDefault="62762CFD" w:rsidP="004C2B19">
      <w:pPr>
        <w:shd w:val="clear" w:color="auto" w:fill="FFFFFF" w:themeFill="background1"/>
        <w:spacing w:after="0" w:line="360" w:lineRule="auto"/>
        <w:jc w:val="both"/>
        <w:rPr>
          <w:rFonts w:ascii="Times New Roman" w:eastAsia="Times New Roman" w:hAnsi="Times New Roman" w:cs="Times New Roman"/>
          <w:color w:val="000000" w:themeColor="text1"/>
          <w:sz w:val="24"/>
          <w:szCs w:val="24"/>
          <w:lang w:eastAsia="es-BO"/>
        </w:rPr>
      </w:pPr>
      <w:r w:rsidRPr="004C2B19">
        <w:rPr>
          <w:rFonts w:ascii="Times New Roman" w:eastAsia="Times New Roman" w:hAnsi="Times New Roman" w:cs="Times New Roman"/>
          <w:color w:val="000000" w:themeColor="text1"/>
          <w:sz w:val="24"/>
          <w:szCs w:val="24"/>
          <w:lang w:eastAsia="es-BO"/>
        </w:rPr>
        <w:t>La promulgación de la Ley 393 de servicios financieros con el propósito de</w:t>
      </w:r>
      <w:r w:rsidRPr="004C2B19">
        <w:rPr>
          <w:rFonts w:ascii="Times New Roman" w:hAnsi="Times New Roman" w:cs="Times New Roman"/>
          <w:sz w:val="24"/>
          <w:szCs w:val="24"/>
        </w:rPr>
        <w:t xml:space="preserve"> facilitar el acceso universal y asegurar la sostenibilidad de los servicios financieros</w:t>
      </w:r>
      <w:r w:rsidRPr="004C2B19">
        <w:rPr>
          <w:rFonts w:ascii="Times New Roman" w:eastAsia="Times New Roman" w:hAnsi="Times New Roman" w:cs="Times New Roman"/>
          <w:color w:val="000000" w:themeColor="text1"/>
          <w:sz w:val="24"/>
          <w:szCs w:val="24"/>
          <w:lang w:eastAsia="es-BO"/>
        </w:rPr>
        <w:t xml:space="preserve"> en 2013 y los decretos reglamentarios (1842 de diciembre de 2013 y 2055 de Julio 2014) sobre regulación de tasas de interés y cupos mínimos de cartera en créditos de vivienda social y productivos que en resumen obligan a las instituciones financieras a subir las tasas pasivas (incrementando sus costos), a bajar sus tasas activas (Reduciendo sus márgenes) convirtiéndolas además en tasas fijas para productores y créditos de vivienda social (incrementando su riesgo de mercado). Conocer el impacto de estas medidas en el Sistema Financiero Boliviano y en sus clientes o usuarios tomando en cuenta que ya pasaron 3 años desde su aplicación es de gran interés para evaluar la política pública.</w:t>
      </w:r>
    </w:p>
    <w:p w14:paraId="7F256ADF" w14:textId="77777777" w:rsidR="00112EF8" w:rsidRPr="004C2B19" w:rsidRDefault="00112EF8" w:rsidP="004C2B19">
      <w:pPr>
        <w:tabs>
          <w:tab w:val="left" w:pos="6082"/>
        </w:tabs>
        <w:spacing w:line="360" w:lineRule="auto"/>
        <w:jc w:val="both"/>
        <w:rPr>
          <w:rFonts w:ascii="Times New Roman" w:hAnsi="Times New Roman" w:cs="Times New Roman"/>
          <w:sz w:val="24"/>
          <w:szCs w:val="24"/>
        </w:rPr>
      </w:pPr>
    </w:p>
    <w:p w14:paraId="7F256AE0" w14:textId="77777777" w:rsidR="00450AAF" w:rsidRPr="004C2B19" w:rsidRDefault="00D02674" w:rsidP="004C2B19">
      <w:pPr>
        <w:shd w:val="clear" w:color="auto" w:fill="FFFFFF"/>
        <w:spacing w:after="0" w:line="360" w:lineRule="auto"/>
        <w:jc w:val="both"/>
        <w:rPr>
          <w:rFonts w:ascii="Times New Roman" w:eastAsia="Times New Roman" w:hAnsi="Times New Roman" w:cs="Times New Roman"/>
          <w:color w:val="000000"/>
          <w:sz w:val="24"/>
          <w:szCs w:val="24"/>
          <w:lang w:eastAsia="es-BO"/>
        </w:rPr>
      </w:pPr>
      <w:r w:rsidRPr="004C2B19">
        <w:rPr>
          <w:rFonts w:ascii="Times New Roman" w:eastAsia="Times New Roman" w:hAnsi="Times New Roman" w:cs="Times New Roman"/>
          <w:color w:val="000000"/>
          <w:sz w:val="24"/>
          <w:szCs w:val="24"/>
          <w:lang w:eastAsia="es-BO"/>
        </w:rPr>
        <w:t xml:space="preserve">A pesar de los potenciales efectos de la regulación de tasas </w:t>
      </w:r>
      <w:r w:rsidR="008776F2" w:rsidRPr="004C2B19">
        <w:rPr>
          <w:rFonts w:ascii="Times New Roman" w:eastAsia="Times New Roman" w:hAnsi="Times New Roman" w:cs="Times New Roman"/>
          <w:color w:val="000000"/>
          <w:sz w:val="24"/>
          <w:szCs w:val="24"/>
          <w:lang w:eastAsia="es-BO"/>
        </w:rPr>
        <w:t xml:space="preserve">de interés </w:t>
      </w:r>
      <w:r w:rsidRPr="004C2B19">
        <w:rPr>
          <w:rFonts w:ascii="Times New Roman" w:eastAsia="Times New Roman" w:hAnsi="Times New Roman" w:cs="Times New Roman"/>
          <w:color w:val="000000"/>
          <w:sz w:val="24"/>
          <w:szCs w:val="24"/>
          <w:lang w:eastAsia="es-BO"/>
        </w:rPr>
        <w:t>en el mercado de crédito</w:t>
      </w:r>
      <w:r w:rsidR="004113C4" w:rsidRPr="004C2B19">
        <w:rPr>
          <w:rFonts w:ascii="Times New Roman" w:eastAsia="Times New Roman" w:hAnsi="Times New Roman" w:cs="Times New Roman"/>
          <w:color w:val="000000"/>
          <w:sz w:val="24"/>
          <w:szCs w:val="24"/>
          <w:lang w:eastAsia="es-BO"/>
        </w:rPr>
        <w:t xml:space="preserve"> (establecimiento de </w:t>
      </w:r>
      <w:r w:rsidR="004D68D1" w:rsidRPr="004C2B19">
        <w:rPr>
          <w:rFonts w:ascii="Times New Roman" w:eastAsia="Times New Roman" w:hAnsi="Times New Roman" w:cs="Times New Roman"/>
          <w:color w:val="000000"/>
          <w:sz w:val="24"/>
          <w:szCs w:val="24"/>
          <w:lang w:eastAsia="es-BO"/>
        </w:rPr>
        <w:t>tasas máximas</w:t>
      </w:r>
      <w:r w:rsidR="007A1104" w:rsidRPr="004C2B19">
        <w:rPr>
          <w:rFonts w:ascii="Times New Roman" w:eastAsia="Times New Roman" w:hAnsi="Times New Roman" w:cs="Times New Roman"/>
          <w:color w:val="000000"/>
          <w:sz w:val="24"/>
          <w:szCs w:val="24"/>
          <w:lang w:eastAsia="es-BO"/>
        </w:rPr>
        <w:t xml:space="preserve"> en cr</w:t>
      </w:r>
      <w:r w:rsidR="00E96781" w:rsidRPr="004C2B19">
        <w:rPr>
          <w:rFonts w:ascii="Times New Roman" w:eastAsia="Times New Roman" w:hAnsi="Times New Roman" w:cs="Times New Roman"/>
          <w:color w:val="000000"/>
          <w:sz w:val="24"/>
          <w:szCs w:val="24"/>
          <w:lang w:eastAsia="es-BO"/>
        </w:rPr>
        <w:t>éditos</w:t>
      </w:r>
      <w:r w:rsidR="004D68D1" w:rsidRPr="004C2B19">
        <w:rPr>
          <w:rFonts w:ascii="Times New Roman" w:eastAsia="Times New Roman" w:hAnsi="Times New Roman" w:cs="Times New Roman"/>
          <w:color w:val="000000"/>
          <w:sz w:val="24"/>
          <w:szCs w:val="24"/>
          <w:lang w:eastAsia="es-BO"/>
        </w:rPr>
        <w:t>)</w:t>
      </w:r>
      <w:r w:rsidRPr="004C2B19">
        <w:rPr>
          <w:rFonts w:ascii="Times New Roman" w:eastAsia="Times New Roman" w:hAnsi="Times New Roman" w:cs="Times New Roman"/>
          <w:color w:val="000000"/>
          <w:sz w:val="24"/>
          <w:szCs w:val="24"/>
          <w:lang w:eastAsia="es-BO"/>
        </w:rPr>
        <w:t>, existen pocos estudios que exploren las consecuencias económicas de este tipo de regulaciones</w:t>
      </w:r>
      <w:r w:rsidR="00450AAF" w:rsidRPr="004C2B19">
        <w:rPr>
          <w:rFonts w:ascii="Times New Roman" w:eastAsia="Times New Roman" w:hAnsi="Times New Roman" w:cs="Times New Roman"/>
          <w:color w:val="000000"/>
          <w:sz w:val="24"/>
          <w:szCs w:val="24"/>
          <w:lang w:eastAsia="es-BO"/>
        </w:rPr>
        <w:t>. Esta escasez de investigación se debe, en parte, a que los economistas y académicos han creído que en la práctica los prestamistas han eludido o evadido esta regulación (Temin y Voth, 2008).</w:t>
      </w:r>
      <w:sdt>
        <w:sdtPr>
          <w:rPr>
            <w:rFonts w:ascii="Times New Roman" w:eastAsia="Times New Roman" w:hAnsi="Times New Roman" w:cs="Times New Roman"/>
            <w:color w:val="000000"/>
            <w:sz w:val="24"/>
            <w:szCs w:val="24"/>
            <w:lang w:eastAsia="es-BO"/>
          </w:rPr>
          <w:id w:val="-1092461557"/>
          <w:citation/>
        </w:sdtPr>
        <w:sdtEndPr/>
        <w:sdtContent>
          <w:r w:rsidR="00450AAF" w:rsidRPr="004C2B19">
            <w:rPr>
              <w:rFonts w:ascii="Times New Roman" w:eastAsia="Times New Roman" w:hAnsi="Times New Roman" w:cs="Times New Roman"/>
              <w:color w:val="000000"/>
              <w:sz w:val="24"/>
              <w:szCs w:val="24"/>
              <w:lang w:eastAsia="es-BO"/>
            </w:rPr>
            <w:fldChar w:fldCharType="begin"/>
          </w:r>
          <w:r w:rsidR="00450AAF" w:rsidRPr="004C2B19">
            <w:rPr>
              <w:rFonts w:ascii="Times New Roman" w:eastAsia="Times New Roman" w:hAnsi="Times New Roman" w:cs="Times New Roman"/>
              <w:color w:val="000000"/>
              <w:sz w:val="24"/>
              <w:szCs w:val="24"/>
              <w:lang w:eastAsia="es-BO"/>
            </w:rPr>
            <w:instrText xml:space="preserve"> CITATION Agu16 \l 16394 </w:instrText>
          </w:r>
          <w:r w:rsidR="00450AAF" w:rsidRPr="004C2B19">
            <w:rPr>
              <w:rFonts w:ascii="Times New Roman" w:eastAsia="Times New Roman" w:hAnsi="Times New Roman" w:cs="Times New Roman"/>
              <w:color w:val="000000"/>
              <w:sz w:val="24"/>
              <w:szCs w:val="24"/>
              <w:lang w:eastAsia="es-BO"/>
            </w:rPr>
            <w:fldChar w:fldCharType="separate"/>
          </w:r>
          <w:r w:rsidR="00450AAF" w:rsidRPr="004C2B19">
            <w:rPr>
              <w:rFonts w:ascii="Times New Roman" w:eastAsia="Times New Roman" w:hAnsi="Times New Roman" w:cs="Times New Roman"/>
              <w:noProof/>
              <w:color w:val="000000"/>
              <w:sz w:val="24"/>
              <w:szCs w:val="24"/>
              <w:lang w:eastAsia="es-BO"/>
            </w:rPr>
            <w:t xml:space="preserve"> (Hurtado, 2016)</w:t>
          </w:r>
          <w:r w:rsidR="00450AAF" w:rsidRPr="004C2B19">
            <w:rPr>
              <w:rFonts w:ascii="Times New Roman" w:eastAsia="Times New Roman" w:hAnsi="Times New Roman" w:cs="Times New Roman"/>
              <w:color w:val="000000"/>
              <w:sz w:val="24"/>
              <w:szCs w:val="24"/>
              <w:lang w:eastAsia="es-BO"/>
            </w:rPr>
            <w:fldChar w:fldCharType="end"/>
          </w:r>
        </w:sdtContent>
      </w:sdt>
      <w:r w:rsidR="004D68D1" w:rsidRPr="004C2B19">
        <w:rPr>
          <w:rFonts w:ascii="Times New Roman" w:eastAsia="Times New Roman" w:hAnsi="Times New Roman" w:cs="Times New Roman"/>
          <w:color w:val="000000"/>
          <w:sz w:val="24"/>
          <w:szCs w:val="24"/>
          <w:lang w:eastAsia="es-BO"/>
        </w:rPr>
        <w:t>.</w:t>
      </w:r>
    </w:p>
    <w:p w14:paraId="7F256AE1" w14:textId="77777777" w:rsidR="004113C4" w:rsidRPr="004C2B19" w:rsidRDefault="004113C4" w:rsidP="004C2B19">
      <w:pPr>
        <w:shd w:val="clear" w:color="auto" w:fill="FFFFFF"/>
        <w:spacing w:after="0" w:line="360" w:lineRule="auto"/>
        <w:jc w:val="both"/>
        <w:rPr>
          <w:rFonts w:ascii="Times New Roman" w:eastAsia="Times New Roman" w:hAnsi="Times New Roman" w:cs="Times New Roman"/>
          <w:color w:val="000000"/>
          <w:sz w:val="24"/>
          <w:szCs w:val="24"/>
          <w:lang w:eastAsia="es-BO"/>
        </w:rPr>
      </w:pPr>
    </w:p>
    <w:p w14:paraId="7F256AE3" w14:textId="3EF1294B" w:rsidR="004113C4" w:rsidRPr="004C2B19" w:rsidRDefault="007C0CD7" w:rsidP="0056675D">
      <w:pPr>
        <w:shd w:val="clear" w:color="auto" w:fill="FFFFFF"/>
        <w:spacing w:line="360" w:lineRule="auto"/>
        <w:jc w:val="both"/>
        <w:rPr>
          <w:rFonts w:ascii="Times New Roman" w:eastAsia="Times New Roman" w:hAnsi="Times New Roman" w:cs="Times New Roman"/>
          <w:color w:val="000000"/>
          <w:sz w:val="24"/>
          <w:szCs w:val="24"/>
          <w:lang w:eastAsia="es-BO"/>
        </w:rPr>
      </w:pPr>
      <w:r w:rsidRPr="00FC7E17">
        <w:rPr>
          <w:rFonts w:ascii="Times New Roman" w:eastAsia="Times New Roman" w:hAnsi="Times New Roman" w:cs="Times New Roman"/>
          <w:color w:val="000000"/>
          <w:sz w:val="24"/>
          <w:szCs w:val="24"/>
          <w:lang w:eastAsia="es-BO"/>
        </w:rPr>
        <w:t xml:space="preserve">Sin </w:t>
      </w:r>
      <w:r w:rsidR="003A6F0B" w:rsidRPr="00FC7E17">
        <w:rPr>
          <w:rFonts w:ascii="Times New Roman" w:eastAsia="Times New Roman" w:hAnsi="Times New Roman" w:cs="Times New Roman"/>
          <w:color w:val="000000"/>
          <w:sz w:val="24"/>
          <w:szCs w:val="24"/>
          <w:lang w:eastAsia="es-BO"/>
        </w:rPr>
        <w:t>embargo,</w:t>
      </w:r>
      <w:r w:rsidRPr="00FC7E17">
        <w:rPr>
          <w:rFonts w:ascii="Times New Roman" w:eastAsia="Times New Roman" w:hAnsi="Times New Roman" w:cs="Times New Roman"/>
          <w:color w:val="000000"/>
          <w:sz w:val="24"/>
          <w:szCs w:val="24"/>
          <w:lang w:eastAsia="es-BO"/>
        </w:rPr>
        <w:t xml:space="preserve"> de lo anterior, e</w:t>
      </w:r>
      <w:r w:rsidR="004113C4" w:rsidRPr="00FC7E17">
        <w:rPr>
          <w:rFonts w:ascii="Times New Roman" w:eastAsia="Times New Roman" w:hAnsi="Times New Roman" w:cs="Times New Roman"/>
          <w:color w:val="000000"/>
          <w:sz w:val="24"/>
          <w:szCs w:val="24"/>
          <w:lang w:eastAsia="es-BO"/>
        </w:rPr>
        <w:t xml:space="preserve">xisten varios autores que consideran que el establecimiento de tasas máximas </w:t>
      </w:r>
      <w:r w:rsidR="003A6F0B" w:rsidRPr="00FC7E17">
        <w:rPr>
          <w:rFonts w:ascii="Times New Roman" w:eastAsia="Times New Roman" w:hAnsi="Times New Roman" w:cs="Times New Roman"/>
          <w:color w:val="000000"/>
          <w:sz w:val="24"/>
          <w:szCs w:val="24"/>
          <w:lang w:eastAsia="es-BO"/>
        </w:rPr>
        <w:t>bajas</w:t>
      </w:r>
      <w:r w:rsidR="004113C4" w:rsidRPr="00FC7E17">
        <w:rPr>
          <w:rFonts w:ascii="Times New Roman" w:eastAsia="Times New Roman" w:hAnsi="Times New Roman" w:cs="Times New Roman"/>
          <w:color w:val="000000"/>
          <w:sz w:val="24"/>
          <w:szCs w:val="24"/>
          <w:lang w:eastAsia="es-BO"/>
        </w:rPr>
        <w:t xml:space="preserve"> disminuye la profundización financiera, la actividad económica y el crédito, afectando fundamentalmente a los pequeños deudores.</w:t>
      </w:r>
      <w:r w:rsidR="004113C4" w:rsidRPr="00FC7E17">
        <w:rPr>
          <w:rFonts w:ascii="Times New Roman" w:eastAsia="Times New Roman" w:hAnsi="Times New Roman" w:cs="Times New Roman"/>
          <w:color w:val="00B0F0"/>
          <w:sz w:val="24"/>
          <w:szCs w:val="24"/>
          <w:lang w:eastAsia="es-BO"/>
        </w:rPr>
        <w:t xml:space="preserve"> </w:t>
      </w:r>
      <w:r w:rsidR="004113C4" w:rsidRPr="00FC7E17">
        <w:rPr>
          <w:rFonts w:ascii="Times New Roman" w:eastAsia="Times New Roman" w:hAnsi="Times New Roman" w:cs="Times New Roman"/>
          <w:color w:val="000000" w:themeColor="text1"/>
          <w:sz w:val="24"/>
          <w:szCs w:val="24"/>
          <w:lang w:eastAsia="es-BO"/>
        </w:rPr>
        <w:t xml:space="preserve">(Cepeda, Murcia y Estrada 2011) </w:t>
      </w:r>
      <w:r w:rsidR="004113C4" w:rsidRPr="00FC7E17">
        <w:rPr>
          <w:rFonts w:ascii="Times New Roman" w:eastAsia="Times New Roman" w:hAnsi="Times New Roman" w:cs="Times New Roman"/>
          <w:color w:val="000000"/>
          <w:sz w:val="24"/>
          <w:szCs w:val="24"/>
          <w:lang w:eastAsia="es-BO"/>
        </w:rPr>
        <w:t>(Rigbi, 2013) (Capera et al., 2011)</w:t>
      </w:r>
      <w:r w:rsidR="008864FA" w:rsidRPr="00FC7E17">
        <w:rPr>
          <w:rFonts w:ascii="Times New Roman" w:eastAsia="Times New Roman" w:hAnsi="Times New Roman" w:cs="Times New Roman"/>
          <w:color w:val="000000"/>
          <w:sz w:val="24"/>
          <w:szCs w:val="24"/>
          <w:lang w:eastAsia="es-BO"/>
        </w:rPr>
        <w:t xml:space="preserve"> (Benmelech y Moskowitz, 2010) </w:t>
      </w:r>
      <w:sdt>
        <w:sdtPr>
          <w:rPr>
            <w:rFonts w:ascii="Times New Roman" w:eastAsia="Times New Roman" w:hAnsi="Times New Roman" w:cs="Times New Roman"/>
            <w:color w:val="000000"/>
            <w:sz w:val="24"/>
            <w:szCs w:val="24"/>
            <w:lang w:eastAsia="es-BO"/>
          </w:rPr>
          <w:id w:val="1994372392"/>
          <w:citation/>
        </w:sdtPr>
        <w:sdtEndPr/>
        <w:sdtContent>
          <w:r w:rsidR="008864FA" w:rsidRPr="00FC7E17">
            <w:rPr>
              <w:rFonts w:ascii="Times New Roman" w:eastAsia="Times New Roman" w:hAnsi="Times New Roman" w:cs="Times New Roman"/>
              <w:color w:val="000000"/>
              <w:sz w:val="24"/>
              <w:szCs w:val="24"/>
              <w:lang w:eastAsia="es-BO"/>
            </w:rPr>
            <w:fldChar w:fldCharType="begin"/>
          </w:r>
          <w:r w:rsidR="008864FA" w:rsidRPr="00FC7E17">
            <w:rPr>
              <w:rFonts w:ascii="Times New Roman" w:eastAsia="Times New Roman" w:hAnsi="Times New Roman" w:cs="Times New Roman"/>
              <w:color w:val="000000"/>
              <w:sz w:val="24"/>
              <w:szCs w:val="24"/>
              <w:lang w:eastAsia="es-BO"/>
            </w:rPr>
            <w:instrText xml:space="preserve"> CITATION Agu16 \l 16394 </w:instrText>
          </w:r>
          <w:r w:rsidR="008864FA" w:rsidRPr="00FC7E17">
            <w:rPr>
              <w:rFonts w:ascii="Times New Roman" w:eastAsia="Times New Roman" w:hAnsi="Times New Roman" w:cs="Times New Roman"/>
              <w:color w:val="000000"/>
              <w:sz w:val="24"/>
              <w:szCs w:val="24"/>
              <w:lang w:eastAsia="es-BO"/>
            </w:rPr>
            <w:fldChar w:fldCharType="separate"/>
          </w:r>
          <w:r w:rsidR="008864FA" w:rsidRPr="00FC7E17">
            <w:rPr>
              <w:rFonts w:ascii="Times New Roman" w:eastAsia="Times New Roman" w:hAnsi="Times New Roman" w:cs="Times New Roman"/>
              <w:noProof/>
              <w:color w:val="000000"/>
              <w:sz w:val="24"/>
              <w:szCs w:val="24"/>
              <w:lang w:eastAsia="es-BO"/>
            </w:rPr>
            <w:t xml:space="preserve"> (Hurtado, 2016)</w:t>
          </w:r>
          <w:r w:rsidR="008864FA" w:rsidRPr="00FC7E17">
            <w:rPr>
              <w:rFonts w:ascii="Times New Roman" w:eastAsia="Times New Roman" w:hAnsi="Times New Roman" w:cs="Times New Roman"/>
              <w:color w:val="000000"/>
              <w:sz w:val="24"/>
              <w:szCs w:val="24"/>
              <w:lang w:eastAsia="es-BO"/>
            </w:rPr>
            <w:fldChar w:fldCharType="end"/>
          </w:r>
        </w:sdtContent>
      </w:sdt>
      <w:r w:rsidR="008864FA" w:rsidRPr="00FC7E17">
        <w:rPr>
          <w:rFonts w:ascii="Times New Roman" w:eastAsia="Times New Roman" w:hAnsi="Times New Roman" w:cs="Times New Roman"/>
          <w:color w:val="000000"/>
          <w:sz w:val="24"/>
          <w:szCs w:val="24"/>
          <w:lang w:eastAsia="es-BO"/>
        </w:rPr>
        <w:t>.</w:t>
      </w:r>
    </w:p>
    <w:p w14:paraId="7F256AE5" w14:textId="4BA4315E" w:rsidR="001F373B" w:rsidRDefault="0056675D" w:rsidP="0056675D">
      <w:pPr>
        <w:shd w:val="clear" w:color="auto" w:fill="FFFFFF" w:themeFill="background1"/>
        <w:spacing w:line="360" w:lineRule="auto"/>
        <w:jc w:val="both"/>
        <w:rPr>
          <w:rFonts w:ascii="Times New Roman" w:eastAsia="Times New Roman" w:hAnsi="Times New Roman" w:cs="Times New Roman"/>
          <w:color w:val="000000" w:themeColor="text1"/>
          <w:sz w:val="24"/>
          <w:szCs w:val="24"/>
          <w:lang w:eastAsia="es-BO"/>
        </w:rPr>
      </w:pPr>
      <w:r>
        <w:rPr>
          <w:rFonts w:ascii="Times New Roman" w:eastAsia="Times New Roman" w:hAnsi="Times New Roman" w:cs="Times New Roman"/>
          <w:color w:val="000000"/>
          <w:sz w:val="24"/>
          <w:szCs w:val="24"/>
          <w:lang w:eastAsia="es-BO"/>
        </w:rPr>
        <w:t>Así también</w:t>
      </w:r>
      <w:r w:rsidR="007A1104" w:rsidRPr="004C2B19">
        <w:rPr>
          <w:rFonts w:ascii="Times New Roman" w:eastAsia="Times New Roman" w:hAnsi="Times New Roman" w:cs="Times New Roman"/>
          <w:color w:val="000000"/>
          <w:sz w:val="24"/>
          <w:szCs w:val="24"/>
          <w:lang w:eastAsia="es-BO"/>
        </w:rPr>
        <w:t>, o</w:t>
      </w:r>
      <w:r w:rsidR="004113C4" w:rsidRPr="004C2B19">
        <w:rPr>
          <w:rFonts w:ascii="Times New Roman" w:eastAsia="Times New Roman" w:hAnsi="Times New Roman" w:cs="Times New Roman"/>
          <w:color w:val="000000"/>
          <w:sz w:val="24"/>
          <w:szCs w:val="24"/>
          <w:lang w:eastAsia="es-BO"/>
        </w:rPr>
        <w:t xml:space="preserve">tros autores consideran que el establecimiento de tasas máximas es necesario </w:t>
      </w:r>
      <w:r w:rsidR="003A6F0B" w:rsidRPr="004C2B19">
        <w:rPr>
          <w:rFonts w:ascii="Times New Roman" w:eastAsia="Times New Roman" w:hAnsi="Times New Roman" w:cs="Times New Roman"/>
          <w:color w:val="000000"/>
          <w:sz w:val="24"/>
          <w:szCs w:val="24"/>
          <w:lang w:eastAsia="es-BO"/>
        </w:rPr>
        <w:t>para corregir</w:t>
      </w:r>
      <w:r w:rsidR="008864FA" w:rsidRPr="004C2B19">
        <w:rPr>
          <w:rFonts w:ascii="Times New Roman" w:eastAsia="Times New Roman" w:hAnsi="Times New Roman" w:cs="Times New Roman"/>
          <w:color w:val="000000"/>
          <w:sz w:val="24"/>
          <w:szCs w:val="24"/>
          <w:lang w:eastAsia="es-BO"/>
        </w:rPr>
        <w:t xml:space="preserve"> fallas de mercado en una industria, buscar un mercado financiero eficiente, promover la inclusión financiera de sectores marginados, ya que reduce el precio pagado por los deudores, limitando el poder de los bancos en el mercado ya que estos pueden explotar la asimetría de información en detrimento del excedente del consumidor</w:t>
      </w:r>
      <w:r w:rsidR="008864FA" w:rsidRPr="004C2B19">
        <w:rPr>
          <w:rFonts w:ascii="Times New Roman" w:eastAsia="Times New Roman" w:hAnsi="Times New Roman" w:cs="Times New Roman"/>
          <w:color w:val="000000" w:themeColor="text1"/>
          <w:sz w:val="24"/>
          <w:szCs w:val="24"/>
          <w:lang w:eastAsia="es-BO"/>
        </w:rPr>
        <w:t xml:space="preserve">. El racionamiento debido a las imperfecciones del </w:t>
      </w:r>
      <w:r w:rsidR="00B36DB7" w:rsidRPr="004C2B19">
        <w:rPr>
          <w:rFonts w:ascii="Times New Roman" w:eastAsia="Times New Roman" w:hAnsi="Times New Roman" w:cs="Times New Roman"/>
          <w:color w:val="000000" w:themeColor="text1"/>
          <w:sz w:val="24"/>
          <w:szCs w:val="24"/>
          <w:lang w:eastAsia="es-BO"/>
        </w:rPr>
        <w:t>mercado</w:t>
      </w:r>
      <w:r w:rsidR="008864FA" w:rsidRPr="004C2B19">
        <w:rPr>
          <w:rFonts w:ascii="Times New Roman" w:eastAsia="Times New Roman" w:hAnsi="Times New Roman" w:cs="Times New Roman"/>
          <w:color w:val="000000" w:themeColor="text1"/>
          <w:sz w:val="24"/>
          <w:szCs w:val="24"/>
          <w:lang w:eastAsia="es-BO"/>
        </w:rPr>
        <w:t xml:space="preserve"> implica que aún en equilibrio existirán empresas sin financiamiento y bancos con exceso de liquidez y por tanto ineficientes.</w:t>
      </w:r>
      <w:r w:rsidR="008864FA" w:rsidRPr="004C2B19">
        <w:rPr>
          <w:rFonts w:ascii="Times New Roman" w:eastAsia="Times New Roman" w:hAnsi="Times New Roman" w:cs="Times New Roman"/>
          <w:color w:val="FF0000"/>
          <w:sz w:val="24"/>
          <w:szCs w:val="24"/>
          <w:lang w:eastAsia="es-BO"/>
        </w:rPr>
        <w:t xml:space="preserve"> </w:t>
      </w:r>
      <w:r w:rsidR="008864FA" w:rsidRPr="004C2B19">
        <w:rPr>
          <w:rFonts w:ascii="Times New Roman" w:eastAsia="Times New Roman" w:hAnsi="Times New Roman" w:cs="Times New Roman"/>
          <w:color w:val="000000" w:themeColor="text1"/>
          <w:sz w:val="24"/>
          <w:szCs w:val="24"/>
          <w:lang w:eastAsia="es-BO"/>
        </w:rPr>
        <w:t>Miller (2013)</w:t>
      </w:r>
      <w:sdt>
        <w:sdtPr>
          <w:rPr>
            <w:rFonts w:ascii="Times New Roman" w:eastAsia="Times New Roman" w:hAnsi="Times New Roman" w:cs="Times New Roman"/>
            <w:color w:val="000000" w:themeColor="text1"/>
            <w:sz w:val="24"/>
            <w:szCs w:val="24"/>
            <w:lang w:eastAsia="es-BO"/>
          </w:rPr>
          <w:id w:val="1996913875"/>
          <w:citation/>
        </w:sdtPr>
        <w:sdtEndPr/>
        <w:sdtContent>
          <w:r w:rsidR="008864FA" w:rsidRPr="004C2B19">
            <w:rPr>
              <w:rFonts w:ascii="Times New Roman" w:eastAsia="Times New Roman" w:hAnsi="Times New Roman" w:cs="Times New Roman"/>
              <w:color w:val="000000" w:themeColor="text1"/>
              <w:sz w:val="24"/>
              <w:szCs w:val="24"/>
              <w:lang w:eastAsia="es-BO"/>
            </w:rPr>
            <w:fldChar w:fldCharType="begin"/>
          </w:r>
          <w:r w:rsidR="00146F14" w:rsidRPr="004C2B19">
            <w:rPr>
              <w:rFonts w:ascii="Times New Roman" w:eastAsia="Times New Roman" w:hAnsi="Times New Roman" w:cs="Times New Roman"/>
              <w:color w:val="000000" w:themeColor="text1"/>
              <w:sz w:val="24"/>
              <w:szCs w:val="24"/>
              <w:lang w:eastAsia="es-BO"/>
            </w:rPr>
            <w:instrText xml:space="preserve">CITATION Oma15 \l 16394 </w:instrText>
          </w:r>
          <w:r w:rsidR="008864FA" w:rsidRPr="004C2B19">
            <w:rPr>
              <w:rFonts w:ascii="Times New Roman" w:eastAsia="Times New Roman" w:hAnsi="Times New Roman" w:cs="Times New Roman"/>
              <w:color w:val="000000" w:themeColor="text1"/>
              <w:sz w:val="24"/>
              <w:szCs w:val="24"/>
              <w:lang w:eastAsia="es-BO"/>
            </w:rPr>
            <w:fldChar w:fldCharType="separate"/>
          </w:r>
          <w:r w:rsidR="00146F14" w:rsidRPr="004C2B19">
            <w:rPr>
              <w:rFonts w:ascii="Times New Roman" w:eastAsia="Times New Roman" w:hAnsi="Times New Roman" w:cs="Times New Roman"/>
              <w:noProof/>
              <w:color w:val="000000" w:themeColor="text1"/>
              <w:sz w:val="24"/>
              <w:szCs w:val="24"/>
              <w:lang w:eastAsia="es-BO"/>
            </w:rPr>
            <w:t xml:space="preserve"> (Velasco, 2015)</w:t>
          </w:r>
          <w:r w:rsidR="008864FA" w:rsidRPr="004C2B19">
            <w:rPr>
              <w:rFonts w:ascii="Times New Roman" w:eastAsia="Times New Roman" w:hAnsi="Times New Roman" w:cs="Times New Roman"/>
              <w:color w:val="000000" w:themeColor="text1"/>
              <w:sz w:val="24"/>
              <w:szCs w:val="24"/>
              <w:lang w:eastAsia="es-BO"/>
            </w:rPr>
            <w:fldChar w:fldCharType="end"/>
          </w:r>
        </w:sdtContent>
      </w:sdt>
      <w:r w:rsidR="008864FA" w:rsidRPr="004C2B19">
        <w:rPr>
          <w:rFonts w:ascii="Times New Roman" w:eastAsia="Times New Roman" w:hAnsi="Times New Roman" w:cs="Times New Roman"/>
          <w:color w:val="000000" w:themeColor="text1"/>
          <w:sz w:val="24"/>
          <w:szCs w:val="24"/>
          <w:lang w:eastAsia="es-BO"/>
        </w:rPr>
        <w:t>.</w:t>
      </w:r>
    </w:p>
    <w:p w14:paraId="24705A95" w14:textId="137F85E5" w:rsidR="0056675D" w:rsidRPr="004C2B19" w:rsidRDefault="0056675D" w:rsidP="0056675D">
      <w:pPr>
        <w:shd w:val="clear" w:color="auto" w:fill="FFFFFF" w:themeFill="background1"/>
        <w:spacing w:line="360" w:lineRule="auto"/>
        <w:jc w:val="both"/>
        <w:rPr>
          <w:rFonts w:ascii="Times New Roman" w:eastAsia="Times New Roman" w:hAnsi="Times New Roman" w:cs="Times New Roman"/>
          <w:color w:val="000000" w:themeColor="text1"/>
          <w:sz w:val="24"/>
          <w:szCs w:val="24"/>
          <w:lang w:eastAsia="es-BO"/>
        </w:rPr>
      </w:pPr>
      <w:r>
        <w:rPr>
          <w:rFonts w:ascii="Times New Roman" w:eastAsia="Times New Roman" w:hAnsi="Times New Roman" w:cs="Times New Roman"/>
          <w:color w:val="000000" w:themeColor="text1"/>
          <w:sz w:val="24"/>
          <w:szCs w:val="24"/>
          <w:lang w:eastAsia="es-BO"/>
        </w:rPr>
        <w:t xml:space="preserve">Otros de los principales objetivos para el establecimiento de tasas de interés máximas es la dinamización de la economía a través de un efecto multiplicador que radica en un mayor empleo, consumo, incremento de productividad en diversas industrias y mercados; también se busca con estas medidas instaurar medidas contra cíclicas ante una posible crisis financiera que derivaría en una crisis económica y por ultimo evitar una competencia desleal entre entidades financieras, ya que dentro del sistema financiero </w:t>
      </w:r>
      <w:r w:rsidR="00D746FE">
        <w:rPr>
          <w:rFonts w:ascii="Times New Roman" w:eastAsia="Times New Roman" w:hAnsi="Times New Roman" w:cs="Times New Roman"/>
          <w:color w:val="000000" w:themeColor="text1"/>
          <w:sz w:val="24"/>
          <w:szCs w:val="24"/>
          <w:lang w:eastAsia="es-BO"/>
        </w:rPr>
        <w:t>dichas instituciones son más grandes que otras, por lo cual se busca establecer igualdad de condiciones en un mismo mercado. (Cotler, 1991), (Brownlee, 1968), (Danino, 1978), (Carvajal y Carvajal, 2009), (Fry, 1978), (Beneras Rivera, A.P., 2018)</w:t>
      </w:r>
    </w:p>
    <w:p w14:paraId="7F256AE6" w14:textId="0DECC342" w:rsidR="00603FFA" w:rsidRDefault="00E53D6B" w:rsidP="004C2B19">
      <w:pPr>
        <w:tabs>
          <w:tab w:val="left" w:pos="6082"/>
        </w:tabs>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¿Contribuy</w:t>
      </w:r>
      <w:r w:rsidR="000969C0">
        <w:rPr>
          <w:rFonts w:ascii="Times New Roman" w:hAnsi="Times New Roman" w:cs="Times New Roman"/>
          <w:sz w:val="24"/>
          <w:szCs w:val="24"/>
        </w:rPr>
        <w:t>en</w:t>
      </w:r>
      <w:r w:rsidRPr="004C2B19">
        <w:rPr>
          <w:rFonts w:ascii="Times New Roman" w:hAnsi="Times New Roman" w:cs="Times New Roman"/>
          <w:sz w:val="24"/>
          <w:szCs w:val="24"/>
        </w:rPr>
        <w:t xml:space="preserve"> las medidas de regulac</w:t>
      </w:r>
      <w:r w:rsidR="00603FFA" w:rsidRPr="004C2B19">
        <w:rPr>
          <w:rFonts w:ascii="Times New Roman" w:hAnsi="Times New Roman" w:cs="Times New Roman"/>
          <w:sz w:val="24"/>
          <w:szCs w:val="24"/>
        </w:rPr>
        <w:t>ión de tasas</w:t>
      </w:r>
      <w:r w:rsidR="007C0CD7" w:rsidRPr="004C2B19">
        <w:rPr>
          <w:rFonts w:ascii="Times New Roman" w:hAnsi="Times New Roman" w:cs="Times New Roman"/>
          <w:sz w:val="24"/>
          <w:szCs w:val="24"/>
        </w:rPr>
        <w:t xml:space="preserve"> de interés</w:t>
      </w:r>
      <w:r w:rsidR="00603FFA" w:rsidRPr="004C2B19">
        <w:rPr>
          <w:rFonts w:ascii="Times New Roman" w:hAnsi="Times New Roman" w:cs="Times New Roman"/>
          <w:sz w:val="24"/>
          <w:szCs w:val="24"/>
        </w:rPr>
        <w:t xml:space="preserve"> y cupos de cartera a</w:t>
      </w:r>
      <w:r w:rsidRPr="004C2B19">
        <w:rPr>
          <w:rFonts w:ascii="Times New Roman" w:hAnsi="Times New Roman" w:cs="Times New Roman"/>
          <w:sz w:val="24"/>
          <w:szCs w:val="24"/>
        </w:rPr>
        <w:t xml:space="preserve"> lograr</w:t>
      </w:r>
      <w:r w:rsidR="00603FFA" w:rsidRPr="004C2B19">
        <w:rPr>
          <w:rFonts w:ascii="Times New Roman" w:hAnsi="Times New Roman" w:cs="Times New Roman"/>
          <w:sz w:val="24"/>
          <w:szCs w:val="24"/>
        </w:rPr>
        <w:t xml:space="preserve"> los objetivos de la </w:t>
      </w:r>
      <w:r w:rsidR="00B36DB7" w:rsidRPr="004C2B19">
        <w:rPr>
          <w:rFonts w:ascii="Times New Roman" w:hAnsi="Times New Roman" w:cs="Times New Roman"/>
          <w:sz w:val="24"/>
          <w:szCs w:val="24"/>
        </w:rPr>
        <w:t>ley de</w:t>
      </w:r>
      <w:r w:rsidR="00603FFA" w:rsidRPr="004C2B19">
        <w:rPr>
          <w:rFonts w:ascii="Times New Roman" w:hAnsi="Times New Roman" w:cs="Times New Roman"/>
          <w:sz w:val="24"/>
          <w:szCs w:val="24"/>
        </w:rPr>
        <w:t xml:space="preserve"> servicios financieros de facilitar el acceso universal y asegurar la sostenibilidad de los servicios financieros</w:t>
      </w:r>
      <w:r w:rsidR="00862E8F" w:rsidRPr="004C2B19">
        <w:rPr>
          <w:rFonts w:ascii="Times New Roman" w:hAnsi="Times New Roman" w:cs="Times New Roman"/>
          <w:sz w:val="24"/>
          <w:szCs w:val="24"/>
        </w:rPr>
        <w:t>?</w:t>
      </w:r>
    </w:p>
    <w:p w14:paraId="4F0B7CEA" w14:textId="77777777" w:rsidR="000969C0" w:rsidRPr="004C2B19" w:rsidRDefault="000969C0" w:rsidP="004C2B19">
      <w:pPr>
        <w:tabs>
          <w:tab w:val="left" w:pos="6082"/>
        </w:tabs>
        <w:spacing w:line="360" w:lineRule="auto"/>
        <w:jc w:val="both"/>
        <w:rPr>
          <w:rFonts w:ascii="Times New Roman" w:hAnsi="Times New Roman" w:cs="Times New Roman"/>
          <w:sz w:val="24"/>
          <w:szCs w:val="24"/>
        </w:rPr>
      </w:pPr>
    </w:p>
    <w:p w14:paraId="7F256AEB" w14:textId="77777777" w:rsidR="003A73DD" w:rsidRPr="004C2B19" w:rsidRDefault="003A73DD" w:rsidP="004C2B19">
      <w:pPr>
        <w:pStyle w:val="Prrafodelista"/>
        <w:numPr>
          <w:ilvl w:val="0"/>
          <w:numId w:val="8"/>
        </w:numPr>
        <w:spacing w:line="360" w:lineRule="auto"/>
        <w:rPr>
          <w:rFonts w:ascii="Times New Roman" w:hAnsi="Times New Roman" w:cs="Times New Roman"/>
          <w:b/>
          <w:sz w:val="24"/>
          <w:szCs w:val="24"/>
        </w:rPr>
      </w:pPr>
      <w:r w:rsidRPr="004C2B19">
        <w:rPr>
          <w:rFonts w:ascii="Times New Roman" w:hAnsi="Times New Roman" w:cs="Times New Roman"/>
          <w:b/>
          <w:sz w:val="24"/>
          <w:szCs w:val="24"/>
        </w:rPr>
        <w:t>Método</w:t>
      </w:r>
    </w:p>
    <w:p w14:paraId="7F256AEC" w14:textId="7062D995" w:rsidR="0081539F" w:rsidRPr="004C2B19" w:rsidRDefault="003A73DD" w:rsidP="004C2B19">
      <w:pPr>
        <w:tabs>
          <w:tab w:val="left" w:pos="6082"/>
        </w:tabs>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Para evaluar si las medidas de regulación de tasas y cupos de ca</w:t>
      </w:r>
      <w:r w:rsidR="0081539F" w:rsidRPr="004C2B19">
        <w:rPr>
          <w:rFonts w:ascii="Times New Roman" w:hAnsi="Times New Roman" w:cs="Times New Roman"/>
          <w:sz w:val="24"/>
          <w:szCs w:val="24"/>
        </w:rPr>
        <w:t xml:space="preserve">rtera contribuyen </w:t>
      </w:r>
      <w:r w:rsidRPr="004C2B19">
        <w:rPr>
          <w:rFonts w:ascii="Times New Roman" w:hAnsi="Times New Roman" w:cs="Times New Roman"/>
          <w:sz w:val="24"/>
          <w:szCs w:val="24"/>
        </w:rPr>
        <w:t xml:space="preserve">a los objetivos de </w:t>
      </w:r>
      <w:r w:rsidR="002A4D5B" w:rsidRPr="004C2B19">
        <w:rPr>
          <w:rFonts w:ascii="Times New Roman" w:hAnsi="Times New Roman" w:cs="Times New Roman"/>
          <w:sz w:val="24"/>
          <w:szCs w:val="24"/>
        </w:rPr>
        <w:t>la ley,</w:t>
      </w:r>
      <w:r w:rsidRPr="004C2B19">
        <w:rPr>
          <w:rFonts w:ascii="Times New Roman" w:hAnsi="Times New Roman" w:cs="Times New Roman"/>
          <w:sz w:val="24"/>
          <w:szCs w:val="24"/>
        </w:rPr>
        <w:t xml:space="preserve"> de facilitar el acceso universal y asegurar la sostenibilidad de los servicios financieros, analizamos</w:t>
      </w:r>
      <w:r w:rsidR="0018030A" w:rsidRPr="004C2B19">
        <w:rPr>
          <w:rFonts w:ascii="Times New Roman" w:hAnsi="Times New Roman" w:cs="Times New Roman"/>
          <w:sz w:val="24"/>
          <w:szCs w:val="24"/>
        </w:rPr>
        <w:t xml:space="preserve"> con datos empíricos</w:t>
      </w:r>
      <w:r w:rsidRPr="004C2B19">
        <w:rPr>
          <w:rFonts w:ascii="Times New Roman" w:hAnsi="Times New Roman" w:cs="Times New Roman"/>
          <w:sz w:val="24"/>
          <w:szCs w:val="24"/>
        </w:rPr>
        <w:t xml:space="preserve"> </w:t>
      </w:r>
      <w:r w:rsidR="002A4D5B" w:rsidRPr="004C2B19">
        <w:rPr>
          <w:rFonts w:ascii="Times New Roman" w:hAnsi="Times New Roman" w:cs="Times New Roman"/>
          <w:sz w:val="24"/>
          <w:szCs w:val="24"/>
        </w:rPr>
        <w:t>su</w:t>
      </w:r>
      <w:r w:rsidRPr="004C2B19">
        <w:rPr>
          <w:rFonts w:ascii="Times New Roman" w:hAnsi="Times New Roman" w:cs="Times New Roman"/>
          <w:sz w:val="24"/>
          <w:szCs w:val="24"/>
        </w:rPr>
        <w:t xml:space="preserve"> efecto en las </w:t>
      </w:r>
      <w:r w:rsidR="0081539F" w:rsidRPr="004C2B19">
        <w:rPr>
          <w:rFonts w:ascii="Times New Roman" w:hAnsi="Times New Roman" w:cs="Times New Roman"/>
          <w:sz w:val="24"/>
          <w:szCs w:val="24"/>
        </w:rPr>
        <w:t xml:space="preserve">principales </w:t>
      </w:r>
      <w:r w:rsidRPr="004C2B19">
        <w:rPr>
          <w:rFonts w:ascii="Times New Roman" w:hAnsi="Times New Roman" w:cs="Times New Roman"/>
          <w:sz w:val="24"/>
          <w:szCs w:val="24"/>
        </w:rPr>
        <w:t>variables</w:t>
      </w:r>
      <w:r w:rsidR="0081539F" w:rsidRPr="004C2B19">
        <w:rPr>
          <w:rFonts w:ascii="Times New Roman" w:hAnsi="Times New Roman" w:cs="Times New Roman"/>
          <w:sz w:val="24"/>
          <w:szCs w:val="24"/>
        </w:rPr>
        <w:t xml:space="preserve"> del sistema financiero</w:t>
      </w:r>
      <w:r w:rsidRPr="004C2B19">
        <w:rPr>
          <w:rFonts w:ascii="Times New Roman" w:hAnsi="Times New Roman" w:cs="Times New Roman"/>
          <w:sz w:val="24"/>
          <w:szCs w:val="24"/>
        </w:rPr>
        <w:t>: Crecimiento de cartera de créditos, Ganancias – costos, número de agencias, número de clientes en</w:t>
      </w:r>
      <w:r w:rsidR="0081539F" w:rsidRPr="004C2B19">
        <w:rPr>
          <w:rFonts w:ascii="Times New Roman" w:hAnsi="Times New Roman" w:cs="Times New Roman"/>
          <w:sz w:val="24"/>
          <w:szCs w:val="24"/>
        </w:rPr>
        <w:t xml:space="preserve"> créditos. Comparamos la evolución de las variables citadas antes de las medidas de </w:t>
      </w:r>
      <w:r w:rsidR="00146F14" w:rsidRPr="004C2B19">
        <w:rPr>
          <w:rFonts w:ascii="Times New Roman" w:hAnsi="Times New Roman" w:cs="Times New Roman"/>
          <w:sz w:val="24"/>
          <w:szCs w:val="24"/>
        </w:rPr>
        <w:t xml:space="preserve">regulación de tasas y cupos de </w:t>
      </w:r>
      <w:r w:rsidR="0081539F" w:rsidRPr="004C2B19">
        <w:rPr>
          <w:rFonts w:ascii="Times New Roman" w:hAnsi="Times New Roman" w:cs="Times New Roman"/>
          <w:sz w:val="24"/>
          <w:szCs w:val="24"/>
        </w:rPr>
        <w:t xml:space="preserve">cartera y después de las mismas, en procura de entender su efecto y </w:t>
      </w:r>
      <w:r w:rsidR="00092626">
        <w:rPr>
          <w:rFonts w:ascii="Times New Roman" w:hAnsi="Times New Roman" w:cs="Times New Roman"/>
          <w:sz w:val="24"/>
          <w:szCs w:val="24"/>
        </w:rPr>
        <w:t>establecer</w:t>
      </w:r>
      <w:r w:rsidR="0081539F" w:rsidRPr="004C2B19">
        <w:rPr>
          <w:rFonts w:ascii="Times New Roman" w:hAnsi="Times New Roman" w:cs="Times New Roman"/>
          <w:sz w:val="24"/>
          <w:szCs w:val="24"/>
        </w:rPr>
        <w:t xml:space="preserve"> la tendencia que podría presentarse más adelante.</w:t>
      </w:r>
    </w:p>
    <w:p w14:paraId="7F256AED" w14:textId="77777777" w:rsidR="0081539F" w:rsidRPr="004C2B19" w:rsidRDefault="0081539F" w:rsidP="004C2B19">
      <w:pPr>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 xml:space="preserve">Por lo indicado si bien </w:t>
      </w:r>
      <w:r w:rsidR="002A4D5B" w:rsidRPr="004C2B19">
        <w:rPr>
          <w:rFonts w:ascii="Times New Roman" w:hAnsi="Times New Roman" w:cs="Times New Roman"/>
          <w:sz w:val="24"/>
          <w:szCs w:val="24"/>
        </w:rPr>
        <w:t>presentamos</w:t>
      </w:r>
      <w:r w:rsidRPr="004C2B19">
        <w:rPr>
          <w:rFonts w:ascii="Times New Roman" w:hAnsi="Times New Roman" w:cs="Times New Roman"/>
          <w:sz w:val="24"/>
          <w:szCs w:val="24"/>
        </w:rPr>
        <w:t xml:space="preserve"> algunos cuadros y gráficas en valores absolutos y también de evolución relativa interanual para ilustrar, nos c</w:t>
      </w:r>
      <w:r w:rsidR="002A4D5B" w:rsidRPr="004C2B19">
        <w:rPr>
          <w:rFonts w:ascii="Times New Roman" w:hAnsi="Times New Roman" w:cs="Times New Roman"/>
          <w:sz w:val="24"/>
          <w:szCs w:val="24"/>
        </w:rPr>
        <w:t>oncentra</w:t>
      </w:r>
      <w:r w:rsidRPr="004C2B19">
        <w:rPr>
          <w:rFonts w:ascii="Times New Roman" w:hAnsi="Times New Roman" w:cs="Times New Roman"/>
          <w:sz w:val="24"/>
          <w:szCs w:val="24"/>
        </w:rPr>
        <w:t>mos fuertemente en la comparación de medias relativas como información más concluyente para medir el efecto de las medidas. Para este fin tomamos información de 7 años del 2011 al 2017, 3 años antes y 3 años después del 2014 año en el que se implementan los cambios, para lograr un análisis equilibrado.</w:t>
      </w:r>
    </w:p>
    <w:p w14:paraId="7F256AEE" w14:textId="77777777" w:rsidR="0081539F" w:rsidRPr="004C2B19" w:rsidRDefault="0081539F" w:rsidP="004C2B19">
      <w:pPr>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La información utilizada es oficial extraída del sistema de información de ASFI y de los informes de estabilidad financiera del banco central de Bolivia, pero, con fines de hacerla comparable en el tiempo se la organiza de la siguiente manera:</w:t>
      </w:r>
    </w:p>
    <w:p w14:paraId="7F256AEF" w14:textId="77777777" w:rsidR="0081539F" w:rsidRPr="004C2B19" w:rsidRDefault="0081539F" w:rsidP="004C2B19">
      <w:pPr>
        <w:pStyle w:val="Prrafodelista"/>
        <w:numPr>
          <w:ilvl w:val="0"/>
          <w:numId w:val="12"/>
        </w:numPr>
        <w:spacing w:after="0" w:line="360" w:lineRule="auto"/>
        <w:jc w:val="both"/>
        <w:rPr>
          <w:rFonts w:ascii="Times New Roman" w:hAnsi="Times New Roman" w:cs="Times New Roman"/>
          <w:sz w:val="24"/>
          <w:szCs w:val="24"/>
        </w:rPr>
      </w:pPr>
      <w:r w:rsidRPr="004C2B19">
        <w:rPr>
          <w:rFonts w:ascii="Times New Roman" w:hAnsi="Times New Roman" w:cs="Times New Roman"/>
          <w:sz w:val="24"/>
          <w:szCs w:val="24"/>
        </w:rPr>
        <w:t xml:space="preserve">Con el nombre </w:t>
      </w:r>
      <w:r w:rsidRPr="004C2B19">
        <w:rPr>
          <w:rFonts w:ascii="Times New Roman" w:hAnsi="Times New Roman" w:cs="Times New Roman"/>
          <w:b/>
          <w:sz w:val="24"/>
          <w:szCs w:val="24"/>
        </w:rPr>
        <w:t>BANCOS</w:t>
      </w:r>
      <w:r w:rsidRPr="004C2B19">
        <w:rPr>
          <w:rFonts w:ascii="Times New Roman" w:hAnsi="Times New Roman" w:cs="Times New Roman"/>
          <w:sz w:val="24"/>
          <w:szCs w:val="24"/>
        </w:rPr>
        <w:t xml:space="preserve">, está la cartera de bancos Múltiples más la cartera de bancos PYMEs más la cartera de FFPs (Fondos financieros privados), ya que esta última figura dejo de existir con la nueva ley </w:t>
      </w:r>
      <w:r w:rsidR="002A4D5B" w:rsidRPr="004C2B19">
        <w:rPr>
          <w:rFonts w:ascii="Times New Roman" w:hAnsi="Times New Roman" w:cs="Times New Roman"/>
          <w:sz w:val="24"/>
          <w:szCs w:val="24"/>
        </w:rPr>
        <w:t xml:space="preserve">para convertirse en bancos, </w:t>
      </w:r>
      <w:r w:rsidRPr="004C2B19">
        <w:rPr>
          <w:rFonts w:ascii="Times New Roman" w:hAnsi="Times New Roman" w:cs="Times New Roman"/>
          <w:sz w:val="24"/>
          <w:szCs w:val="24"/>
        </w:rPr>
        <w:t>Múltiples o Pymes.</w:t>
      </w:r>
    </w:p>
    <w:p w14:paraId="7F256AF0" w14:textId="77777777" w:rsidR="0081539F" w:rsidRPr="004C2B19" w:rsidRDefault="0081539F" w:rsidP="004C2B19">
      <w:pPr>
        <w:pStyle w:val="Prrafodelista"/>
        <w:spacing w:after="0" w:line="360" w:lineRule="auto"/>
        <w:jc w:val="both"/>
        <w:rPr>
          <w:rFonts w:ascii="Times New Roman" w:hAnsi="Times New Roman" w:cs="Times New Roman"/>
          <w:sz w:val="24"/>
          <w:szCs w:val="24"/>
        </w:rPr>
      </w:pPr>
    </w:p>
    <w:p w14:paraId="7F256AF1" w14:textId="3F43D980" w:rsidR="003A2E7D" w:rsidRPr="004C2B19" w:rsidRDefault="62762CFD" w:rsidP="004C2B19">
      <w:pPr>
        <w:pStyle w:val="Prrafodelista"/>
        <w:numPr>
          <w:ilvl w:val="0"/>
          <w:numId w:val="12"/>
        </w:numPr>
        <w:spacing w:after="0" w:line="360" w:lineRule="auto"/>
        <w:jc w:val="both"/>
        <w:rPr>
          <w:rFonts w:ascii="Times New Roman" w:hAnsi="Times New Roman" w:cs="Times New Roman"/>
          <w:sz w:val="24"/>
          <w:szCs w:val="24"/>
        </w:rPr>
      </w:pPr>
      <w:r w:rsidRPr="004C2B19">
        <w:rPr>
          <w:rFonts w:ascii="Times New Roman" w:hAnsi="Times New Roman" w:cs="Times New Roman"/>
          <w:sz w:val="24"/>
          <w:szCs w:val="24"/>
        </w:rPr>
        <w:t xml:space="preserve">De igual manera se consolida bajo </w:t>
      </w:r>
      <w:r w:rsidRPr="004C2B19">
        <w:rPr>
          <w:rFonts w:ascii="Times New Roman" w:hAnsi="Times New Roman" w:cs="Times New Roman"/>
          <w:b/>
          <w:bCs/>
          <w:sz w:val="24"/>
          <w:szCs w:val="24"/>
        </w:rPr>
        <w:t>IFV</w:t>
      </w:r>
      <w:r w:rsidRPr="004C2B19">
        <w:rPr>
          <w:rFonts w:ascii="Times New Roman" w:hAnsi="Times New Roman" w:cs="Times New Roman"/>
          <w:sz w:val="24"/>
          <w:szCs w:val="24"/>
        </w:rPr>
        <w:t xml:space="preserve"> la cartera de las instituciones financieras de vivienda con la de las mutuales, ya que estas últimas dejaron de existir para dar paso a las IFVs.</w:t>
      </w:r>
    </w:p>
    <w:p w14:paraId="7F256AF2" w14:textId="77777777" w:rsidR="00A71F81" w:rsidRPr="004C2B19" w:rsidRDefault="00A71F81" w:rsidP="004C2B19">
      <w:pPr>
        <w:spacing w:after="0" w:line="360" w:lineRule="auto"/>
        <w:jc w:val="both"/>
        <w:rPr>
          <w:rFonts w:ascii="Times New Roman" w:hAnsi="Times New Roman" w:cs="Times New Roman"/>
          <w:sz w:val="24"/>
          <w:szCs w:val="24"/>
        </w:rPr>
      </w:pPr>
    </w:p>
    <w:p w14:paraId="7F256AF3" w14:textId="252C9AF7" w:rsidR="0081539F" w:rsidRPr="004C2B19" w:rsidRDefault="62762CFD" w:rsidP="004C2B19">
      <w:pPr>
        <w:pStyle w:val="Prrafodelista"/>
        <w:numPr>
          <w:ilvl w:val="0"/>
          <w:numId w:val="12"/>
        </w:numPr>
        <w:spacing w:after="0" w:line="360" w:lineRule="auto"/>
        <w:jc w:val="both"/>
        <w:rPr>
          <w:rFonts w:ascii="Times New Roman" w:hAnsi="Times New Roman" w:cs="Times New Roman"/>
          <w:sz w:val="24"/>
          <w:szCs w:val="24"/>
        </w:rPr>
      </w:pPr>
      <w:r w:rsidRPr="004C2B19">
        <w:rPr>
          <w:rFonts w:ascii="Times New Roman" w:hAnsi="Times New Roman" w:cs="Times New Roman"/>
          <w:sz w:val="24"/>
          <w:szCs w:val="24"/>
        </w:rPr>
        <w:t>Finalmente, la cartera de las Instituciones financieras de desarrollo IFDs, se toma de FINRURAL (gremio que las agrupa), ya que ASFI solo cuenta con información que excluye a las que se encuentran en proceso de regulación.</w:t>
      </w:r>
    </w:p>
    <w:p w14:paraId="7F256AF4" w14:textId="77777777" w:rsidR="0081539F" w:rsidRDefault="0081539F" w:rsidP="004C2B19">
      <w:pPr>
        <w:tabs>
          <w:tab w:val="left" w:pos="6082"/>
        </w:tabs>
        <w:spacing w:line="360" w:lineRule="auto"/>
        <w:jc w:val="both"/>
        <w:rPr>
          <w:rFonts w:ascii="Times New Roman" w:hAnsi="Times New Roman" w:cs="Times New Roman"/>
          <w:sz w:val="24"/>
          <w:szCs w:val="24"/>
        </w:rPr>
      </w:pPr>
    </w:p>
    <w:p w14:paraId="7F256AF5" w14:textId="3DA739FB" w:rsidR="00DE779F" w:rsidRPr="004C2B19" w:rsidRDefault="62762CFD" w:rsidP="004C2B19">
      <w:pPr>
        <w:pStyle w:val="Prrafodelista"/>
        <w:numPr>
          <w:ilvl w:val="0"/>
          <w:numId w:val="8"/>
        </w:numPr>
        <w:spacing w:line="360" w:lineRule="auto"/>
        <w:rPr>
          <w:rFonts w:ascii="Times New Roman" w:hAnsi="Times New Roman" w:cs="Times New Roman"/>
          <w:b/>
          <w:bCs/>
          <w:sz w:val="24"/>
          <w:szCs w:val="24"/>
        </w:rPr>
      </w:pPr>
      <w:r w:rsidRPr="004C2B19">
        <w:rPr>
          <w:rFonts w:ascii="Times New Roman" w:hAnsi="Times New Roman" w:cs="Times New Roman"/>
          <w:b/>
          <w:bCs/>
          <w:sz w:val="24"/>
          <w:szCs w:val="24"/>
        </w:rPr>
        <w:t xml:space="preserve">Análisis de las medidas: resultados y </w:t>
      </w:r>
      <w:r w:rsidR="00253731" w:rsidRPr="004C2B19">
        <w:rPr>
          <w:rFonts w:ascii="Times New Roman" w:hAnsi="Times New Roman" w:cs="Times New Roman"/>
          <w:b/>
          <w:bCs/>
          <w:sz w:val="24"/>
          <w:szCs w:val="24"/>
        </w:rPr>
        <w:t>discusión</w:t>
      </w:r>
    </w:p>
    <w:p w14:paraId="7F256AF7" w14:textId="06C3F0DB" w:rsidR="00244E08" w:rsidRDefault="62762CFD" w:rsidP="004C2B19">
      <w:pPr>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Previamente es importante tener claro que estas medidas y los cambios que generan en el sistema financiero son interdependientes con otras variables, es decir, pueden afectar y ser afectadas por las mismas</w:t>
      </w:r>
      <w:r w:rsidR="000969C0">
        <w:rPr>
          <w:rFonts w:ascii="Times New Roman" w:hAnsi="Times New Roman" w:cs="Times New Roman"/>
          <w:sz w:val="24"/>
          <w:szCs w:val="24"/>
        </w:rPr>
        <w:t>.</w:t>
      </w:r>
      <w:r w:rsidRPr="004C2B19">
        <w:rPr>
          <w:rFonts w:ascii="Times New Roman" w:hAnsi="Times New Roman" w:cs="Times New Roman"/>
          <w:sz w:val="24"/>
          <w:szCs w:val="24"/>
        </w:rPr>
        <w:t>, efectos que no analizamos en el presente documento</w:t>
      </w:r>
      <w:r w:rsidR="00092626">
        <w:rPr>
          <w:rFonts w:ascii="Times New Roman" w:hAnsi="Times New Roman" w:cs="Times New Roman"/>
          <w:sz w:val="24"/>
          <w:szCs w:val="24"/>
        </w:rPr>
        <w:t xml:space="preserve"> a profundidad</w:t>
      </w:r>
      <w:r w:rsidRPr="004C2B19">
        <w:rPr>
          <w:rFonts w:ascii="Times New Roman" w:hAnsi="Times New Roman" w:cs="Times New Roman"/>
          <w:sz w:val="24"/>
          <w:szCs w:val="24"/>
        </w:rPr>
        <w:t>.</w:t>
      </w:r>
    </w:p>
    <w:p w14:paraId="54245475" w14:textId="7E74B3CC" w:rsidR="00092626" w:rsidRDefault="00092626" w:rsidP="004C2B19">
      <w:pPr>
        <w:spacing w:line="360" w:lineRule="auto"/>
        <w:jc w:val="both"/>
        <w:rPr>
          <w:rFonts w:ascii="Times New Roman" w:hAnsi="Times New Roman" w:cs="Times New Roman"/>
          <w:sz w:val="24"/>
          <w:szCs w:val="24"/>
        </w:rPr>
      </w:pPr>
      <w:r>
        <w:rPr>
          <w:rFonts w:ascii="Times New Roman" w:hAnsi="Times New Roman" w:cs="Times New Roman"/>
          <w:sz w:val="24"/>
          <w:szCs w:val="24"/>
        </w:rPr>
        <w:t>A continuación comparamos en el  periodo de estudio la evolución del PIB con la cartera de créditos.</w:t>
      </w:r>
    </w:p>
    <w:p w14:paraId="777A2235" w14:textId="5E228681" w:rsidR="00092626" w:rsidRDefault="00092626" w:rsidP="00092626">
      <w:pPr>
        <w:rPr>
          <w:lang w:val="es-MX"/>
        </w:rPr>
      </w:pPr>
      <w:r>
        <w:rPr>
          <w:noProof/>
          <w:lang w:eastAsia="es-BO"/>
        </w:rPr>
        <w:drawing>
          <wp:anchor distT="0" distB="0" distL="114300" distR="114300" simplePos="0" relativeHeight="251658240" behindDoc="0" locked="0" layoutInCell="1" allowOverlap="1" wp14:anchorId="20F6C376" wp14:editId="1864F1AD">
            <wp:simplePos x="0" y="0"/>
            <wp:positionH relativeFrom="column">
              <wp:posOffset>649605</wp:posOffset>
            </wp:positionH>
            <wp:positionV relativeFrom="paragraph">
              <wp:posOffset>6985</wp:posOffset>
            </wp:positionV>
            <wp:extent cx="4572000" cy="2491740"/>
            <wp:effectExtent l="0" t="0" r="0" b="3810"/>
            <wp:wrapSquare wrapText="bothSides"/>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724288C0" w14:textId="77777777" w:rsidR="00092626" w:rsidRDefault="00092626" w:rsidP="00092626">
      <w:pPr>
        <w:rPr>
          <w:lang w:val="es-MX"/>
        </w:rPr>
      </w:pPr>
    </w:p>
    <w:p w14:paraId="7D851D64" w14:textId="77777777" w:rsidR="00092626" w:rsidRDefault="00092626" w:rsidP="00092626">
      <w:pPr>
        <w:rPr>
          <w:lang w:val="es-MX"/>
        </w:rPr>
      </w:pPr>
    </w:p>
    <w:p w14:paraId="76C5780A" w14:textId="77777777" w:rsidR="00092626" w:rsidRDefault="00092626" w:rsidP="00092626">
      <w:pPr>
        <w:rPr>
          <w:lang w:val="es-MX"/>
        </w:rPr>
      </w:pPr>
    </w:p>
    <w:p w14:paraId="109B1B6F" w14:textId="77777777" w:rsidR="00092626" w:rsidRDefault="00092626" w:rsidP="00092626">
      <w:pPr>
        <w:rPr>
          <w:lang w:val="es-MX"/>
        </w:rPr>
      </w:pPr>
    </w:p>
    <w:p w14:paraId="29783848" w14:textId="77777777" w:rsidR="00092626" w:rsidRDefault="00092626" w:rsidP="00092626">
      <w:pPr>
        <w:rPr>
          <w:lang w:val="es-MX"/>
        </w:rPr>
      </w:pPr>
    </w:p>
    <w:p w14:paraId="0413FC86" w14:textId="77777777" w:rsidR="00092626" w:rsidRDefault="00092626" w:rsidP="00092626">
      <w:pPr>
        <w:rPr>
          <w:lang w:val="es-MX"/>
        </w:rPr>
      </w:pPr>
    </w:p>
    <w:p w14:paraId="0DCB5668" w14:textId="77777777" w:rsidR="00092626" w:rsidRDefault="00092626" w:rsidP="00092626">
      <w:pPr>
        <w:rPr>
          <w:lang w:val="es-MX"/>
        </w:rPr>
      </w:pPr>
    </w:p>
    <w:p w14:paraId="4CBE9053" w14:textId="77777777" w:rsidR="00092626" w:rsidRDefault="00092626" w:rsidP="00092626">
      <w:pPr>
        <w:rPr>
          <w:lang w:val="es-MX"/>
        </w:rPr>
      </w:pPr>
    </w:p>
    <w:p w14:paraId="237F3488" w14:textId="13CC9A9A" w:rsidR="00092626" w:rsidRPr="000969C0" w:rsidRDefault="00092626" w:rsidP="00092626">
      <w:pPr>
        <w:ind w:left="708"/>
        <w:rPr>
          <w:b/>
          <w:i/>
          <w:sz w:val="18"/>
          <w:lang w:val="es-MX"/>
        </w:rPr>
      </w:pPr>
      <w:r>
        <w:rPr>
          <w:lang w:val="es-MX"/>
        </w:rPr>
        <w:t xml:space="preserve">      </w:t>
      </w:r>
      <w:r w:rsidR="000969C0" w:rsidRPr="001E7DB8">
        <w:rPr>
          <w:b/>
          <w:i/>
          <w:noProof/>
          <w:color w:val="A6A6A6" w:themeColor="background1" w:themeShade="A6"/>
          <w:sz w:val="18"/>
          <w:lang w:eastAsia="es-BO"/>
        </w:rPr>
        <w:t xml:space="preserve">GRAFICO 1: </w:t>
      </w:r>
      <w:r w:rsidRPr="001E7DB8">
        <w:rPr>
          <w:b/>
          <w:i/>
          <w:color w:val="A6A6A6" w:themeColor="background1" w:themeShade="A6"/>
          <w:sz w:val="18"/>
          <w:lang w:val="es-MX"/>
        </w:rPr>
        <w:t>Fuente INE y ASFI (elaboración Propia)</w:t>
      </w:r>
    </w:p>
    <w:p w14:paraId="0AC7DD96" w14:textId="4D204AA8" w:rsidR="00092626" w:rsidRPr="00092626" w:rsidRDefault="000B399B" w:rsidP="000B399B">
      <w:pPr>
        <w:jc w:val="both"/>
        <w:rPr>
          <w:rFonts w:ascii="Times New Roman" w:hAnsi="Times New Roman" w:cs="Times New Roman"/>
          <w:sz w:val="24"/>
          <w:lang w:val="es-MX"/>
        </w:rPr>
      </w:pPr>
      <w:r>
        <w:rPr>
          <w:rFonts w:ascii="Times New Roman" w:hAnsi="Times New Roman" w:cs="Times New Roman"/>
          <w:sz w:val="24"/>
          <w:lang w:val="es-MX"/>
        </w:rPr>
        <w:t>La tasa de crecimiento de la cartera de créditos muestra un descenso sostenido en el periodo de estudio y es más pronunciado después de las medidas, mientras que si bien el PIB es un punto porcentual menor  después de las medidas, se muestra estable por encima del 4%..</w:t>
      </w:r>
    </w:p>
    <w:p w14:paraId="308C7A31" w14:textId="199549B8" w:rsidR="00092626" w:rsidRPr="00B5656C" w:rsidRDefault="000B399B" w:rsidP="00092626">
      <w:pPr>
        <w:rPr>
          <w:rFonts w:ascii="Times New Roman" w:hAnsi="Times New Roman" w:cs="Times New Roman"/>
          <w:sz w:val="24"/>
          <w:lang w:val="es-MX"/>
        </w:rPr>
      </w:pPr>
      <w:r w:rsidRPr="00B5656C">
        <w:rPr>
          <w:rFonts w:ascii="Times New Roman" w:hAnsi="Times New Roman" w:cs="Times New Roman"/>
          <w:sz w:val="24"/>
          <w:lang w:val="es-MX"/>
        </w:rPr>
        <w:t>Realizando una prueba de regresión lineal simple, con la cartera de créditos como variable dependiente del PIB, se tienen los siguientes resultados:</w:t>
      </w:r>
    </w:p>
    <w:tbl>
      <w:tblPr>
        <w:tblW w:w="85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184"/>
        <w:gridCol w:w="108"/>
        <w:gridCol w:w="1368"/>
        <w:gridCol w:w="108"/>
        <w:gridCol w:w="922"/>
        <w:gridCol w:w="554"/>
        <w:gridCol w:w="922"/>
        <w:gridCol w:w="554"/>
        <w:gridCol w:w="476"/>
        <w:gridCol w:w="554"/>
        <w:gridCol w:w="476"/>
        <w:gridCol w:w="554"/>
      </w:tblGrid>
      <w:tr w:rsidR="00092626" w:rsidRPr="00526612" w14:paraId="4216C72A" w14:textId="77777777" w:rsidTr="000969C0">
        <w:trPr>
          <w:gridAfter w:val="1"/>
          <w:wAfter w:w="554" w:type="dxa"/>
          <w:cantSplit/>
        </w:trPr>
        <w:tc>
          <w:tcPr>
            <w:tcW w:w="7962" w:type="dxa"/>
            <w:gridSpan w:val="12"/>
            <w:tcBorders>
              <w:top w:val="nil"/>
              <w:left w:val="nil"/>
              <w:bottom w:val="nil"/>
              <w:right w:val="nil"/>
            </w:tcBorders>
            <w:shd w:val="clear" w:color="auto" w:fill="FFFFFF"/>
            <w:vAlign w:val="center"/>
          </w:tcPr>
          <w:p w14:paraId="48CED6E4"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b/>
                <w:bCs/>
                <w:color w:val="000000"/>
                <w:sz w:val="18"/>
                <w:szCs w:val="18"/>
              </w:rPr>
              <w:t>ANOVA</w:t>
            </w:r>
            <w:r w:rsidRPr="00526612">
              <w:rPr>
                <w:rFonts w:ascii="Arial" w:hAnsi="Arial" w:cs="Arial"/>
                <w:b/>
                <w:bCs/>
                <w:color w:val="000000"/>
                <w:sz w:val="18"/>
                <w:szCs w:val="18"/>
                <w:vertAlign w:val="superscript"/>
              </w:rPr>
              <w:t>a</w:t>
            </w:r>
          </w:p>
        </w:tc>
      </w:tr>
      <w:tr w:rsidR="00092626" w:rsidRPr="00526612" w14:paraId="25FA9965" w14:textId="77777777" w:rsidTr="000969C0">
        <w:trPr>
          <w:gridAfter w:val="1"/>
          <w:wAfter w:w="554" w:type="dxa"/>
          <w:cantSplit/>
        </w:trPr>
        <w:tc>
          <w:tcPr>
            <w:tcW w:w="1920" w:type="dxa"/>
            <w:gridSpan w:val="2"/>
            <w:tcBorders>
              <w:top w:val="single" w:sz="16" w:space="0" w:color="000000"/>
              <w:left w:val="single" w:sz="16" w:space="0" w:color="000000"/>
              <w:bottom w:val="single" w:sz="16" w:space="0" w:color="000000"/>
              <w:right w:val="nil"/>
            </w:tcBorders>
            <w:shd w:val="clear" w:color="auto" w:fill="FFFFFF"/>
            <w:vAlign w:val="bottom"/>
          </w:tcPr>
          <w:p w14:paraId="7EE36408"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Modelo</w:t>
            </w:r>
          </w:p>
        </w:tc>
        <w:tc>
          <w:tcPr>
            <w:tcW w:w="1476" w:type="dxa"/>
            <w:gridSpan w:val="2"/>
            <w:tcBorders>
              <w:top w:val="single" w:sz="16" w:space="0" w:color="000000"/>
              <w:left w:val="single" w:sz="16" w:space="0" w:color="000000"/>
              <w:bottom w:val="single" w:sz="16" w:space="0" w:color="000000"/>
            </w:tcBorders>
            <w:shd w:val="clear" w:color="auto" w:fill="FFFFFF"/>
            <w:vAlign w:val="bottom"/>
          </w:tcPr>
          <w:p w14:paraId="74817593"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Suma de cuadrados</w:t>
            </w:r>
          </w:p>
        </w:tc>
        <w:tc>
          <w:tcPr>
            <w:tcW w:w="1030" w:type="dxa"/>
            <w:gridSpan w:val="2"/>
            <w:tcBorders>
              <w:top w:val="single" w:sz="16" w:space="0" w:color="000000"/>
              <w:bottom w:val="single" w:sz="16" w:space="0" w:color="000000"/>
            </w:tcBorders>
            <w:shd w:val="clear" w:color="auto" w:fill="FFFFFF"/>
            <w:vAlign w:val="bottom"/>
          </w:tcPr>
          <w:p w14:paraId="25886D2F"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gl</w:t>
            </w:r>
          </w:p>
        </w:tc>
        <w:tc>
          <w:tcPr>
            <w:tcW w:w="1476" w:type="dxa"/>
            <w:gridSpan w:val="2"/>
            <w:tcBorders>
              <w:top w:val="single" w:sz="16" w:space="0" w:color="000000"/>
              <w:bottom w:val="single" w:sz="16" w:space="0" w:color="000000"/>
            </w:tcBorders>
            <w:shd w:val="clear" w:color="auto" w:fill="FFFFFF"/>
            <w:vAlign w:val="bottom"/>
          </w:tcPr>
          <w:p w14:paraId="7DD16363"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Media cuadrática</w:t>
            </w:r>
          </w:p>
        </w:tc>
        <w:tc>
          <w:tcPr>
            <w:tcW w:w="1030" w:type="dxa"/>
            <w:gridSpan w:val="2"/>
            <w:tcBorders>
              <w:top w:val="single" w:sz="16" w:space="0" w:color="000000"/>
              <w:bottom w:val="single" w:sz="16" w:space="0" w:color="000000"/>
            </w:tcBorders>
            <w:shd w:val="clear" w:color="auto" w:fill="FFFFFF"/>
            <w:vAlign w:val="bottom"/>
          </w:tcPr>
          <w:p w14:paraId="64DEB976"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F</w:t>
            </w:r>
          </w:p>
        </w:tc>
        <w:tc>
          <w:tcPr>
            <w:tcW w:w="1030" w:type="dxa"/>
            <w:gridSpan w:val="2"/>
            <w:tcBorders>
              <w:top w:val="single" w:sz="16" w:space="0" w:color="000000"/>
              <w:bottom w:val="single" w:sz="16" w:space="0" w:color="000000"/>
              <w:right w:val="single" w:sz="16" w:space="0" w:color="000000"/>
            </w:tcBorders>
            <w:shd w:val="clear" w:color="auto" w:fill="FFFFFF"/>
            <w:vAlign w:val="bottom"/>
          </w:tcPr>
          <w:p w14:paraId="4F7DBE4E"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Sig.</w:t>
            </w:r>
          </w:p>
        </w:tc>
      </w:tr>
      <w:tr w:rsidR="00092626" w:rsidRPr="00526612" w14:paraId="6FD33BBF" w14:textId="77777777" w:rsidTr="000969C0">
        <w:trPr>
          <w:gridAfter w:val="1"/>
          <w:wAfter w:w="554" w:type="dxa"/>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14:paraId="19DB701D"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1</w:t>
            </w:r>
          </w:p>
        </w:tc>
        <w:tc>
          <w:tcPr>
            <w:tcW w:w="1184" w:type="dxa"/>
            <w:tcBorders>
              <w:top w:val="single" w:sz="16" w:space="0" w:color="000000"/>
              <w:left w:val="nil"/>
              <w:bottom w:val="nil"/>
              <w:right w:val="single" w:sz="16" w:space="0" w:color="000000"/>
            </w:tcBorders>
            <w:shd w:val="clear" w:color="auto" w:fill="FFFFFF"/>
          </w:tcPr>
          <w:p w14:paraId="1268D9C3"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Regresión</w:t>
            </w:r>
          </w:p>
        </w:tc>
        <w:tc>
          <w:tcPr>
            <w:tcW w:w="1476" w:type="dxa"/>
            <w:gridSpan w:val="2"/>
            <w:tcBorders>
              <w:top w:val="single" w:sz="16" w:space="0" w:color="000000"/>
              <w:left w:val="single" w:sz="16" w:space="0" w:color="000000"/>
              <w:bottom w:val="nil"/>
            </w:tcBorders>
            <w:shd w:val="clear" w:color="auto" w:fill="FFFFFF"/>
            <w:vAlign w:val="center"/>
          </w:tcPr>
          <w:p w14:paraId="5B76BD6B"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25,765</w:t>
            </w:r>
          </w:p>
        </w:tc>
        <w:tc>
          <w:tcPr>
            <w:tcW w:w="1030" w:type="dxa"/>
            <w:gridSpan w:val="2"/>
            <w:tcBorders>
              <w:top w:val="single" w:sz="16" w:space="0" w:color="000000"/>
              <w:bottom w:val="nil"/>
            </w:tcBorders>
            <w:shd w:val="clear" w:color="auto" w:fill="FFFFFF"/>
            <w:vAlign w:val="center"/>
          </w:tcPr>
          <w:p w14:paraId="754D98D2"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1</w:t>
            </w:r>
          </w:p>
        </w:tc>
        <w:tc>
          <w:tcPr>
            <w:tcW w:w="1476" w:type="dxa"/>
            <w:gridSpan w:val="2"/>
            <w:tcBorders>
              <w:top w:val="single" w:sz="16" w:space="0" w:color="000000"/>
              <w:bottom w:val="nil"/>
            </w:tcBorders>
            <w:shd w:val="clear" w:color="auto" w:fill="FFFFFF"/>
            <w:vAlign w:val="center"/>
          </w:tcPr>
          <w:p w14:paraId="3CECA028"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25,765</w:t>
            </w:r>
          </w:p>
        </w:tc>
        <w:tc>
          <w:tcPr>
            <w:tcW w:w="1030" w:type="dxa"/>
            <w:gridSpan w:val="2"/>
            <w:tcBorders>
              <w:top w:val="single" w:sz="16" w:space="0" w:color="000000"/>
              <w:bottom w:val="nil"/>
            </w:tcBorders>
            <w:shd w:val="clear" w:color="auto" w:fill="FFFFFF"/>
            <w:vAlign w:val="center"/>
          </w:tcPr>
          <w:p w14:paraId="5CC8FFB6"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3,545</w:t>
            </w:r>
          </w:p>
        </w:tc>
        <w:tc>
          <w:tcPr>
            <w:tcW w:w="1030" w:type="dxa"/>
            <w:gridSpan w:val="2"/>
            <w:tcBorders>
              <w:top w:val="single" w:sz="16" w:space="0" w:color="000000"/>
              <w:bottom w:val="nil"/>
              <w:right w:val="single" w:sz="16" w:space="0" w:color="000000"/>
            </w:tcBorders>
            <w:shd w:val="clear" w:color="auto" w:fill="FFFFFF"/>
            <w:vAlign w:val="center"/>
          </w:tcPr>
          <w:p w14:paraId="2606D983" w14:textId="58C5CEAB" w:rsidR="00092626" w:rsidRPr="00526612" w:rsidRDefault="00B5656C" w:rsidP="00011F91">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noProof/>
                <w:color w:val="000000"/>
                <w:sz w:val="18"/>
                <w:szCs w:val="18"/>
                <w:lang w:eastAsia="es-BO"/>
              </w:rPr>
              <mc:AlternateContent>
                <mc:Choice Requires="wps">
                  <w:drawing>
                    <wp:anchor distT="0" distB="0" distL="114300" distR="114300" simplePos="0" relativeHeight="251659264" behindDoc="0" locked="0" layoutInCell="1" allowOverlap="1" wp14:anchorId="18E54BA2" wp14:editId="433D2924">
                      <wp:simplePos x="0" y="0"/>
                      <wp:positionH relativeFrom="column">
                        <wp:posOffset>273685</wp:posOffset>
                      </wp:positionH>
                      <wp:positionV relativeFrom="paragraph">
                        <wp:posOffset>18415</wp:posOffset>
                      </wp:positionV>
                      <wp:extent cx="449580" cy="251460"/>
                      <wp:effectExtent l="0" t="0" r="26670" b="15240"/>
                      <wp:wrapNone/>
                      <wp:docPr id="3" name="Elipse 3"/>
                      <wp:cNvGraphicFramePr/>
                      <a:graphic xmlns:a="http://schemas.openxmlformats.org/drawingml/2006/main">
                        <a:graphicData uri="http://schemas.microsoft.com/office/word/2010/wordprocessingShape">
                          <wps:wsp>
                            <wps:cNvSpPr/>
                            <wps:spPr>
                              <a:xfrm>
                                <a:off x="0" y="0"/>
                                <a:ext cx="449580" cy="2514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oval w14:anchorId="60AA080E" id="Elipse 3" o:spid="_x0000_s1026" style="position:absolute;margin-left:21.55pt;margin-top:1.45pt;width:35.4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" filled="f" strokecolor="red" strokeweight="1pt">
                      <v:stroke joinstyle="miter"/>
                    </v:oval>
                  </w:pict>
                </mc:Fallback>
              </mc:AlternateContent>
            </w:r>
            <w:r w:rsidR="00092626" w:rsidRPr="00526612">
              <w:rPr>
                <w:rFonts w:ascii="Arial" w:hAnsi="Arial" w:cs="Arial"/>
                <w:color w:val="000000"/>
                <w:sz w:val="18"/>
                <w:szCs w:val="18"/>
              </w:rPr>
              <w:t>,133</w:t>
            </w:r>
            <w:r w:rsidR="00092626" w:rsidRPr="00526612">
              <w:rPr>
                <w:rFonts w:ascii="Arial" w:hAnsi="Arial" w:cs="Arial"/>
                <w:color w:val="000000"/>
                <w:sz w:val="18"/>
                <w:szCs w:val="18"/>
                <w:vertAlign w:val="superscript"/>
              </w:rPr>
              <w:t>b</w:t>
            </w:r>
          </w:p>
        </w:tc>
      </w:tr>
      <w:tr w:rsidR="00092626" w:rsidRPr="00526612" w14:paraId="702232FB" w14:textId="77777777" w:rsidTr="000969C0">
        <w:trPr>
          <w:gridAfter w:val="1"/>
          <w:wAfter w:w="554" w:type="dxa"/>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15A80154" w14:textId="77777777" w:rsidR="00092626" w:rsidRPr="00526612" w:rsidRDefault="00092626" w:rsidP="00011F91">
            <w:pPr>
              <w:autoSpaceDE w:val="0"/>
              <w:autoSpaceDN w:val="0"/>
              <w:adjustRightInd w:val="0"/>
              <w:spacing w:after="0" w:line="240" w:lineRule="auto"/>
              <w:rPr>
                <w:rFonts w:ascii="Arial" w:hAnsi="Arial" w:cs="Arial"/>
                <w:color w:val="000000"/>
                <w:sz w:val="18"/>
                <w:szCs w:val="18"/>
              </w:rPr>
            </w:pPr>
          </w:p>
        </w:tc>
        <w:tc>
          <w:tcPr>
            <w:tcW w:w="1184" w:type="dxa"/>
            <w:tcBorders>
              <w:top w:val="nil"/>
              <w:left w:val="nil"/>
              <w:bottom w:val="nil"/>
              <w:right w:val="single" w:sz="16" w:space="0" w:color="000000"/>
            </w:tcBorders>
            <w:shd w:val="clear" w:color="auto" w:fill="FFFFFF"/>
          </w:tcPr>
          <w:p w14:paraId="6947BF91"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Residuo</w:t>
            </w:r>
          </w:p>
        </w:tc>
        <w:tc>
          <w:tcPr>
            <w:tcW w:w="1476" w:type="dxa"/>
            <w:gridSpan w:val="2"/>
            <w:tcBorders>
              <w:top w:val="nil"/>
              <w:left w:val="single" w:sz="16" w:space="0" w:color="000000"/>
              <w:bottom w:val="nil"/>
            </w:tcBorders>
            <w:shd w:val="clear" w:color="auto" w:fill="FFFFFF"/>
            <w:vAlign w:val="center"/>
          </w:tcPr>
          <w:p w14:paraId="008D0588"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29,068</w:t>
            </w:r>
          </w:p>
        </w:tc>
        <w:tc>
          <w:tcPr>
            <w:tcW w:w="1030" w:type="dxa"/>
            <w:gridSpan w:val="2"/>
            <w:tcBorders>
              <w:top w:val="nil"/>
              <w:bottom w:val="nil"/>
            </w:tcBorders>
            <w:shd w:val="clear" w:color="auto" w:fill="FFFFFF"/>
            <w:vAlign w:val="center"/>
          </w:tcPr>
          <w:p w14:paraId="3D19DC71"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4</w:t>
            </w:r>
          </w:p>
        </w:tc>
        <w:tc>
          <w:tcPr>
            <w:tcW w:w="1476" w:type="dxa"/>
            <w:gridSpan w:val="2"/>
            <w:tcBorders>
              <w:top w:val="nil"/>
              <w:bottom w:val="nil"/>
            </w:tcBorders>
            <w:shd w:val="clear" w:color="auto" w:fill="FFFFFF"/>
            <w:vAlign w:val="center"/>
          </w:tcPr>
          <w:p w14:paraId="242AB112"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7,267</w:t>
            </w:r>
          </w:p>
        </w:tc>
        <w:tc>
          <w:tcPr>
            <w:tcW w:w="1030" w:type="dxa"/>
            <w:gridSpan w:val="2"/>
            <w:tcBorders>
              <w:top w:val="nil"/>
              <w:bottom w:val="nil"/>
            </w:tcBorders>
            <w:shd w:val="clear" w:color="auto" w:fill="FFFFFF"/>
            <w:vAlign w:val="center"/>
          </w:tcPr>
          <w:p w14:paraId="14D7D290" w14:textId="77777777"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c>
          <w:tcPr>
            <w:tcW w:w="1030" w:type="dxa"/>
            <w:gridSpan w:val="2"/>
            <w:tcBorders>
              <w:top w:val="nil"/>
              <w:bottom w:val="nil"/>
              <w:right w:val="single" w:sz="16" w:space="0" w:color="000000"/>
            </w:tcBorders>
            <w:shd w:val="clear" w:color="auto" w:fill="FFFFFF"/>
            <w:vAlign w:val="center"/>
          </w:tcPr>
          <w:p w14:paraId="36B59BAE" w14:textId="0FBCCB09"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r>
      <w:tr w:rsidR="00092626" w:rsidRPr="00526612" w14:paraId="779B5003" w14:textId="77777777" w:rsidTr="000969C0">
        <w:trPr>
          <w:gridAfter w:val="1"/>
          <w:wAfter w:w="554" w:type="dxa"/>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6B0AC00A" w14:textId="77777777"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c>
          <w:tcPr>
            <w:tcW w:w="1184" w:type="dxa"/>
            <w:tcBorders>
              <w:top w:val="nil"/>
              <w:left w:val="nil"/>
              <w:bottom w:val="single" w:sz="16" w:space="0" w:color="000000"/>
              <w:right w:val="single" w:sz="16" w:space="0" w:color="000000"/>
            </w:tcBorders>
            <w:shd w:val="clear" w:color="auto" w:fill="FFFFFF"/>
          </w:tcPr>
          <w:p w14:paraId="16763F63"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Total</w:t>
            </w:r>
          </w:p>
        </w:tc>
        <w:tc>
          <w:tcPr>
            <w:tcW w:w="1476" w:type="dxa"/>
            <w:gridSpan w:val="2"/>
            <w:tcBorders>
              <w:top w:val="nil"/>
              <w:left w:val="single" w:sz="16" w:space="0" w:color="000000"/>
              <w:bottom w:val="single" w:sz="16" w:space="0" w:color="000000"/>
            </w:tcBorders>
            <w:shd w:val="clear" w:color="auto" w:fill="FFFFFF"/>
            <w:vAlign w:val="center"/>
          </w:tcPr>
          <w:p w14:paraId="516A8744"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54,833</w:t>
            </w:r>
          </w:p>
        </w:tc>
        <w:tc>
          <w:tcPr>
            <w:tcW w:w="1030" w:type="dxa"/>
            <w:gridSpan w:val="2"/>
            <w:tcBorders>
              <w:top w:val="nil"/>
              <w:bottom w:val="single" w:sz="16" w:space="0" w:color="000000"/>
            </w:tcBorders>
            <w:shd w:val="clear" w:color="auto" w:fill="FFFFFF"/>
            <w:vAlign w:val="center"/>
          </w:tcPr>
          <w:p w14:paraId="7ED40E6C"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5</w:t>
            </w:r>
          </w:p>
        </w:tc>
        <w:tc>
          <w:tcPr>
            <w:tcW w:w="1476" w:type="dxa"/>
            <w:gridSpan w:val="2"/>
            <w:tcBorders>
              <w:top w:val="nil"/>
              <w:bottom w:val="single" w:sz="16" w:space="0" w:color="000000"/>
            </w:tcBorders>
            <w:shd w:val="clear" w:color="auto" w:fill="FFFFFF"/>
            <w:vAlign w:val="center"/>
          </w:tcPr>
          <w:p w14:paraId="283A3375" w14:textId="77777777"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c>
          <w:tcPr>
            <w:tcW w:w="1030" w:type="dxa"/>
            <w:gridSpan w:val="2"/>
            <w:tcBorders>
              <w:top w:val="nil"/>
              <w:bottom w:val="single" w:sz="16" w:space="0" w:color="000000"/>
            </w:tcBorders>
            <w:shd w:val="clear" w:color="auto" w:fill="FFFFFF"/>
            <w:vAlign w:val="center"/>
          </w:tcPr>
          <w:p w14:paraId="5BD4CA79" w14:textId="77777777"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c>
          <w:tcPr>
            <w:tcW w:w="1030" w:type="dxa"/>
            <w:gridSpan w:val="2"/>
            <w:tcBorders>
              <w:top w:val="nil"/>
              <w:bottom w:val="single" w:sz="16" w:space="0" w:color="000000"/>
              <w:right w:val="single" w:sz="16" w:space="0" w:color="000000"/>
            </w:tcBorders>
            <w:shd w:val="clear" w:color="auto" w:fill="FFFFFF"/>
            <w:vAlign w:val="center"/>
          </w:tcPr>
          <w:p w14:paraId="0D685BED" w14:textId="5ADC454E"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r>
      <w:tr w:rsidR="00092626" w:rsidRPr="00526612" w14:paraId="2F2E9B84" w14:textId="77777777" w:rsidTr="000969C0">
        <w:trPr>
          <w:gridAfter w:val="1"/>
          <w:wAfter w:w="554" w:type="dxa"/>
          <w:cantSplit/>
        </w:trPr>
        <w:tc>
          <w:tcPr>
            <w:tcW w:w="7962" w:type="dxa"/>
            <w:gridSpan w:val="12"/>
            <w:tcBorders>
              <w:top w:val="nil"/>
              <w:left w:val="nil"/>
              <w:bottom w:val="nil"/>
              <w:right w:val="nil"/>
            </w:tcBorders>
            <w:shd w:val="clear" w:color="auto" w:fill="FFFFFF"/>
          </w:tcPr>
          <w:p w14:paraId="1C5976C8" w14:textId="6EB4E700"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a. Variable dependiente: P2 CARTERA CREDITOS</w:t>
            </w:r>
          </w:p>
        </w:tc>
      </w:tr>
      <w:tr w:rsidR="00092626" w:rsidRPr="00526612" w14:paraId="66881233" w14:textId="77777777" w:rsidTr="000969C0">
        <w:trPr>
          <w:gridAfter w:val="1"/>
          <w:wAfter w:w="554" w:type="dxa"/>
          <w:cantSplit/>
        </w:trPr>
        <w:tc>
          <w:tcPr>
            <w:tcW w:w="7962" w:type="dxa"/>
            <w:gridSpan w:val="12"/>
            <w:tcBorders>
              <w:top w:val="nil"/>
              <w:left w:val="nil"/>
              <w:bottom w:val="nil"/>
              <w:right w:val="nil"/>
            </w:tcBorders>
            <w:shd w:val="clear" w:color="auto" w:fill="FFFFFF"/>
          </w:tcPr>
          <w:p w14:paraId="2A10EE05"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 xml:space="preserve">b. </w:t>
            </w:r>
            <w:r>
              <w:rPr>
                <w:rFonts w:ascii="Arial" w:hAnsi="Arial" w:cs="Arial"/>
                <w:color w:val="000000"/>
                <w:sz w:val="18"/>
                <w:szCs w:val="18"/>
              </w:rPr>
              <w:t>Variable independiente</w:t>
            </w:r>
            <w:r w:rsidRPr="00526612">
              <w:rPr>
                <w:rFonts w:ascii="Arial" w:hAnsi="Arial" w:cs="Arial"/>
                <w:color w:val="000000"/>
                <w:sz w:val="18"/>
                <w:szCs w:val="18"/>
              </w:rPr>
              <w:t>: (Constante), P1 PIB</w:t>
            </w:r>
          </w:p>
        </w:tc>
      </w:tr>
      <w:tr w:rsidR="00092626" w:rsidRPr="00526612" w14:paraId="7E124965" w14:textId="77777777" w:rsidTr="000969C0">
        <w:trPr>
          <w:cantSplit/>
        </w:trPr>
        <w:tc>
          <w:tcPr>
            <w:tcW w:w="8516" w:type="dxa"/>
            <w:gridSpan w:val="13"/>
            <w:tcBorders>
              <w:top w:val="nil"/>
              <w:left w:val="nil"/>
              <w:bottom w:val="nil"/>
              <w:right w:val="nil"/>
            </w:tcBorders>
            <w:shd w:val="clear" w:color="auto" w:fill="FFFFFF"/>
            <w:vAlign w:val="center"/>
          </w:tcPr>
          <w:p w14:paraId="5AAB70C6" w14:textId="2C73EDB2"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b/>
                <w:bCs/>
                <w:color w:val="000000"/>
                <w:sz w:val="18"/>
                <w:szCs w:val="18"/>
              </w:rPr>
              <w:t>Coeficientes</w:t>
            </w:r>
            <w:r w:rsidRPr="00526612">
              <w:rPr>
                <w:rFonts w:ascii="Arial" w:hAnsi="Arial" w:cs="Arial"/>
                <w:b/>
                <w:bCs/>
                <w:color w:val="000000"/>
                <w:sz w:val="18"/>
                <w:szCs w:val="18"/>
                <w:vertAlign w:val="superscript"/>
              </w:rPr>
              <w:t>a</w:t>
            </w:r>
          </w:p>
        </w:tc>
      </w:tr>
      <w:tr w:rsidR="00092626" w:rsidRPr="00526612" w14:paraId="29E2E0D3" w14:textId="77777777" w:rsidTr="000969C0">
        <w:trPr>
          <w:cantSplit/>
        </w:trPr>
        <w:tc>
          <w:tcPr>
            <w:tcW w:w="2028" w:type="dxa"/>
            <w:gridSpan w:val="3"/>
            <w:vMerge w:val="restart"/>
            <w:tcBorders>
              <w:top w:val="single" w:sz="16" w:space="0" w:color="000000"/>
              <w:left w:val="single" w:sz="16" w:space="0" w:color="000000"/>
              <w:bottom w:val="nil"/>
              <w:right w:val="nil"/>
            </w:tcBorders>
            <w:shd w:val="clear" w:color="auto" w:fill="FFFFFF"/>
            <w:vAlign w:val="bottom"/>
          </w:tcPr>
          <w:p w14:paraId="1E96B65B"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Modelo</w:t>
            </w:r>
          </w:p>
        </w:tc>
        <w:tc>
          <w:tcPr>
            <w:tcW w:w="2952" w:type="dxa"/>
            <w:gridSpan w:val="4"/>
            <w:tcBorders>
              <w:top w:val="single" w:sz="16" w:space="0" w:color="000000"/>
              <w:left w:val="single" w:sz="16" w:space="0" w:color="000000"/>
            </w:tcBorders>
            <w:shd w:val="clear" w:color="auto" w:fill="FFFFFF"/>
            <w:vAlign w:val="bottom"/>
          </w:tcPr>
          <w:p w14:paraId="16DE94E8"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Coeficientes no estandarizados</w:t>
            </w:r>
          </w:p>
        </w:tc>
        <w:tc>
          <w:tcPr>
            <w:tcW w:w="1476" w:type="dxa"/>
            <w:gridSpan w:val="2"/>
            <w:tcBorders>
              <w:top w:val="single" w:sz="16" w:space="0" w:color="000000"/>
            </w:tcBorders>
            <w:shd w:val="clear" w:color="auto" w:fill="FFFFFF"/>
            <w:vAlign w:val="bottom"/>
          </w:tcPr>
          <w:p w14:paraId="74034592"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Coeficientes estandarizados</w:t>
            </w:r>
          </w:p>
        </w:tc>
        <w:tc>
          <w:tcPr>
            <w:tcW w:w="1030" w:type="dxa"/>
            <w:gridSpan w:val="2"/>
            <w:vMerge w:val="restart"/>
            <w:tcBorders>
              <w:top w:val="single" w:sz="16" w:space="0" w:color="000000"/>
            </w:tcBorders>
            <w:shd w:val="clear" w:color="auto" w:fill="FFFFFF"/>
            <w:vAlign w:val="bottom"/>
          </w:tcPr>
          <w:p w14:paraId="3C90E235"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t</w:t>
            </w:r>
          </w:p>
        </w:tc>
        <w:tc>
          <w:tcPr>
            <w:tcW w:w="1030" w:type="dxa"/>
            <w:gridSpan w:val="2"/>
            <w:vMerge w:val="restart"/>
            <w:tcBorders>
              <w:top w:val="single" w:sz="16" w:space="0" w:color="000000"/>
              <w:right w:val="single" w:sz="16" w:space="0" w:color="000000"/>
            </w:tcBorders>
            <w:shd w:val="clear" w:color="auto" w:fill="FFFFFF"/>
            <w:vAlign w:val="bottom"/>
          </w:tcPr>
          <w:p w14:paraId="1D42E1F3" w14:textId="76716266"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Sig.</w:t>
            </w:r>
          </w:p>
        </w:tc>
      </w:tr>
      <w:tr w:rsidR="00092626" w:rsidRPr="00526612" w14:paraId="61C52AC0" w14:textId="77777777" w:rsidTr="000969C0">
        <w:trPr>
          <w:cantSplit/>
        </w:trPr>
        <w:tc>
          <w:tcPr>
            <w:tcW w:w="2028" w:type="dxa"/>
            <w:gridSpan w:val="3"/>
            <w:vMerge/>
            <w:tcBorders>
              <w:top w:val="single" w:sz="16" w:space="0" w:color="000000"/>
              <w:left w:val="single" w:sz="16" w:space="0" w:color="000000"/>
              <w:bottom w:val="nil"/>
              <w:right w:val="nil"/>
            </w:tcBorders>
            <w:shd w:val="clear" w:color="auto" w:fill="FFFFFF"/>
            <w:vAlign w:val="bottom"/>
          </w:tcPr>
          <w:p w14:paraId="7FD7C54E" w14:textId="77777777" w:rsidR="00092626" w:rsidRPr="00526612" w:rsidRDefault="00092626" w:rsidP="00011F91">
            <w:pPr>
              <w:autoSpaceDE w:val="0"/>
              <w:autoSpaceDN w:val="0"/>
              <w:adjustRightInd w:val="0"/>
              <w:spacing w:after="0" w:line="240" w:lineRule="auto"/>
              <w:rPr>
                <w:rFonts w:ascii="Arial" w:hAnsi="Arial" w:cs="Arial"/>
                <w:color w:val="000000"/>
                <w:sz w:val="18"/>
                <w:szCs w:val="18"/>
              </w:rPr>
            </w:pPr>
          </w:p>
        </w:tc>
        <w:tc>
          <w:tcPr>
            <w:tcW w:w="1476" w:type="dxa"/>
            <w:gridSpan w:val="2"/>
            <w:tcBorders>
              <w:left w:val="single" w:sz="16" w:space="0" w:color="000000"/>
              <w:bottom w:val="single" w:sz="16" w:space="0" w:color="000000"/>
            </w:tcBorders>
            <w:shd w:val="clear" w:color="auto" w:fill="FFFFFF"/>
            <w:vAlign w:val="bottom"/>
          </w:tcPr>
          <w:p w14:paraId="13B94C8E"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B</w:t>
            </w:r>
          </w:p>
        </w:tc>
        <w:tc>
          <w:tcPr>
            <w:tcW w:w="1476" w:type="dxa"/>
            <w:gridSpan w:val="2"/>
            <w:tcBorders>
              <w:bottom w:val="single" w:sz="16" w:space="0" w:color="000000"/>
            </w:tcBorders>
            <w:shd w:val="clear" w:color="auto" w:fill="FFFFFF"/>
            <w:vAlign w:val="bottom"/>
          </w:tcPr>
          <w:p w14:paraId="46BAA9F2"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Error estándar</w:t>
            </w:r>
          </w:p>
        </w:tc>
        <w:tc>
          <w:tcPr>
            <w:tcW w:w="1476" w:type="dxa"/>
            <w:gridSpan w:val="2"/>
            <w:tcBorders>
              <w:bottom w:val="single" w:sz="16" w:space="0" w:color="000000"/>
            </w:tcBorders>
            <w:shd w:val="clear" w:color="auto" w:fill="FFFFFF"/>
            <w:vAlign w:val="bottom"/>
          </w:tcPr>
          <w:p w14:paraId="021671E6" w14:textId="77777777" w:rsidR="00092626" w:rsidRPr="00526612" w:rsidRDefault="00092626" w:rsidP="00011F91">
            <w:pPr>
              <w:autoSpaceDE w:val="0"/>
              <w:autoSpaceDN w:val="0"/>
              <w:adjustRightInd w:val="0"/>
              <w:spacing w:after="0" w:line="320" w:lineRule="atLeast"/>
              <w:ind w:left="60" w:right="60"/>
              <w:jc w:val="center"/>
              <w:rPr>
                <w:rFonts w:ascii="Arial" w:hAnsi="Arial" w:cs="Arial"/>
                <w:color w:val="000000"/>
                <w:sz w:val="18"/>
                <w:szCs w:val="18"/>
              </w:rPr>
            </w:pPr>
            <w:r w:rsidRPr="00526612">
              <w:rPr>
                <w:rFonts w:ascii="Arial" w:hAnsi="Arial" w:cs="Arial"/>
                <w:color w:val="000000"/>
                <w:sz w:val="18"/>
                <w:szCs w:val="18"/>
              </w:rPr>
              <w:t>Beta</w:t>
            </w:r>
          </w:p>
        </w:tc>
        <w:tc>
          <w:tcPr>
            <w:tcW w:w="1030" w:type="dxa"/>
            <w:gridSpan w:val="2"/>
            <w:vMerge/>
            <w:tcBorders>
              <w:top w:val="single" w:sz="16" w:space="0" w:color="000000"/>
            </w:tcBorders>
            <w:shd w:val="clear" w:color="auto" w:fill="FFFFFF"/>
            <w:vAlign w:val="bottom"/>
          </w:tcPr>
          <w:p w14:paraId="321C34E2" w14:textId="77777777" w:rsidR="00092626" w:rsidRPr="00526612" w:rsidRDefault="00092626" w:rsidP="00011F91">
            <w:pPr>
              <w:autoSpaceDE w:val="0"/>
              <w:autoSpaceDN w:val="0"/>
              <w:adjustRightInd w:val="0"/>
              <w:spacing w:after="0" w:line="240" w:lineRule="auto"/>
              <w:rPr>
                <w:rFonts w:ascii="Arial" w:hAnsi="Arial" w:cs="Arial"/>
                <w:color w:val="000000"/>
                <w:sz w:val="18"/>
                <w:szCs w:val="18"/>
              </w:rPr>
            </w:pPr>
          </w:p>
        </w:tc>
        <w:tc>
          <w:tcPr>
            <w:tcW w:w="1030" w:type="dxa"/>
            <w:gridSpan w:val="2"/>
            <w:vMerge/>
            <w:tcBorders>
              <w:top w:val="single" w:sz="16" w:space="0" w:color="000000"/>
              <w:right w:val="single" w:sz="16" w:space="0" w:color="000000"/>
            </w:tcBorders>
            <w:shd w:val="clear" w:color="auto" w:fill="FFFFFF"/>
            <w:vAlign w:val="bottom"/>
          </w:tcPr>
          <w:p w14:paraId="7F25A202" w14:textId="77777777" w:rsidR="00092626" w:rsidRPr="00526612" w:rsidRDefault="00092626" w:rsidP="00011F91">
            <w:pPr>
              <w:autoSpaceDE w:val="0"/>
              <w:autoSpaceDN w:val="0"/>
              <w:adjustRightInd w:val="0"/>
              <w:spacing w:after="0" w:line="240" w:lineRule="auto"/>
              <w:rPr>
                <w:rFonts w:ascii="Arial" w:hAnsi="Arial" w:cs="Arial"/>
                <w:color w:val="000000"/>
                <w:sz w:val="18"/>
                <w:szCs w:val="18"/>
              </w:rPr>
            </w:pPr>
          </w:p>
        </w:tc>
      </w:tr>
      <w:tr w:rsidR="00092626" w:rsidRPr="00526612" w14:paraId="0F4031A5" w14:textId="77777777" w:rsidTr="000969C0">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14:paraId="6405E3AF"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1</w:t>
            </w:r>
          </w:p>
        </w:tc>
        <w:tc>
          <w:tcPr>
            <w:tcW w:w="1292" w:type="dxa"/>
            <w:gridSpan w:val="2"/>
            <w:tcBorders>
              <w:top w:val="single" w:sz="16" w:space="0" w:color="000000"/>
              <w:left w:val="nil"/>
              <w:bottom w:val="nil"/>
              <w:right w:val="single" w:sz="16" w:space="0" w:color="000000"/>
            </w:tcBorders>
            <w:shd w:val="clear" w:color="auto" w:fill="FFFFFF"/>
          </w:tcPr>
          <w:p w14:paraId="50FCABE8"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(Constante)</w:t>
            </w:r>
          </w:p>
        </w:tc>
        <w:tc>
          <w:tcPr>
            <w:tcW w:w="1476" w:type="dxa"/>
            <w:gridSpan w:val="2"/>
            <w:tcBorders>
              <w:top w:val="single" w:sz="16" w:space="0" w:color="000000"/>
              <w:left w:val="single" w:sz="16" w:space="0" w:color="000000"/>
              <w:bottom w:val="nil"/>
            </w:tcBorders>
            <w:shd w:val="clear" w:color="auto" w:fill="FFFFFF"/>
            <w:vAlign w:val="center"/>
          </w:tcPr>
          <w:p w14:paraId="085BBC60"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4,713</w:t>
            </w:r>
          </w:p>
        </w:tc>
        <w:tc>
          <w:tcPr>
            <w:tcW w:w="1476" w:type="dxa"/>
            <w:gridSpan w:val="2"/>
            <w:tcBorders>
              <w:top w:val="single" w:sz="16" w:space="0" w:color="000000"/>
              <w:bottom w:val="nil"/>
            </w:tcBorders>
            <w:shd w:val="clear" w:color="auto" w:fill="FFFFFF"/>
            <w:vAlign w:val="center"/>
          </w:tcPr>
          <w:p w14:paraId="4256613A"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6,530</w:t>
            </w:r>
          </w:p>
        </w:tc>
        <w:tc>
          <w:tcPr>
            <w:tcW w:w="1476" w:type="dxa"/>
            <w:gridSpan w:val="2"/>
            <w:tcBorders>
              <w:top w:val="single" w:sz="16" w:space="0" w:color="000000"/>
              <w:bottom w:val="nil"/>
            </w:tcBorders>
            <w:shd w:val="clear" w:color="auto" w:fill="FFFFFF"/>
            <w:vAlign w:val="center"/>
          </w:tcPr>
          <w:p w14:paraId="06DCCA50" w14:textId="77777777" w:rsidR="00092626" w:rsidRPr="00526612" w:rsidRDefault="00092626" w:rsidP="00011F91">
            <w:pPr>
              <w:autoSpaceDE w:val="0"/>
              <w:autoSpaceDN w:val="0"/>
              <w:adjustRightInd w:val="0"/>
              <w:spacing w:after="0" w:line="240" w:lineRule="auto"/>
              <w:rPr>
                <w:rFonts w:ascii="Times New Roman" w:hAnsi="Times New Roman" w:cs="Times New Roman"/>
                <w:sz w:val="24"/>
                <w:szCs w:val="24"/>
              </w:rPr>
            </w:pPr>
          </w:p>
        </w:tc>
        <w:tc>
          <w:tcPr>
            <w:tcW w:w="1030" w:type="dxa"/>
            <w:gridSpan w:val="2"/>
            <w:tcBorders>
              <w:top w:val="single" w:sz="16" w:space="0" w:color="000000"/>
              <w:bottom w:val="nil"/>
            </w:tcBorders>
            <w:shd w:val="clear" w:color="auto" w:fill="FFFFFF"/>
            <w:vAlign w:val="center"/>
          </w:tcPr>
          <w:p w14:paraId="5F4A032D"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,722</w:t>
            </w:r>
          </w:p>
        </w:tc>
        <w:tc>
          <w:tcPr>
            <w:tcW w:w="1030" w:type="dxa"/>
            <w:gridSpan w:val="2"/>
            <w:tcBorders>
              <w:top w:val="single" w:sz="16" w:space="0" w:color="000000"/>
              <w:bottom w:val="nil"/>
              <w:right w:val="single" w:sz="16" w:space="0" w:color="000000"/>
            </w:tcBorders>
            <w:shd w:val="clear" w:color="auto" w:fill="FFFFFF"/>
            <w:vAlign w:val="center"/>
          </w:tcPr>
          <w:p w14:paraId="3568C451" w14:textId="56BB2A93"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,510</w:t>
            </w:r>
          </w:p>
        </w:tc>
      </w:tr>
      <w:tr w:rsidR="00092626" w:rsidRPr="00526612" w14:paraId="0C1074B4" w14:textId="77777777" w:rsidTr="000969C0">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2CBD2EBB" w14:textId="77777777" w:rsidR="00092626" w:rsidRPr="00526612" w:rsidRDefault="00092626" w:rsidP="00011F91">
            <w:pPr>
              <w:autoSpaceDE w:val="0"/>
              <w:autoSpaceDN w:val="0"/>
              <w:adjustRightInd w:val="0"/>
              <w:spacing w:after="0" w:line="240" w:lineRule="auto"/>
              <w:rPr>
                <w:rFonts w:ascii="Arial" w:hAnsi="Arial" w:cs="Arial"/>
                <w:color w:val="000000"/>
                <w:sz w:val="18"/>
                <w:szCs w:val="18"/>
              </w:rPr>
            </w:pPr>
          </w:p>
        </w:tc>
        <w:tc>
          <w:tcPr>
            <w:tcW w:w="1292" w:type="dxa"/>
            <w:gridSpan w:val="2"/>
            <w:tcBorders>
              <w:top w:val="nil"/>
              <w:left w:val="nil"/>
              <w:bottom w:val="single" w:sz="16" w:space="0" w:color="000000"/>
              <w:right w:val="single" w:sz="16" w:space="0" w:color="000000"/>
            </w:tcBorders>
            <w:shd w:val="clear" w:color="auto" w:fill="FFFFFF"/>
          </w:tcPr>
          <w:p w14:paraId="70B680B7"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P1 PIB</w:t>
            </w:r>
          </w:p>
        </w:tc>
        <w:tc>
          <w:tcPr>
            <w:tcW w:w="1476" w:type="dxa"/>
            <w:gridSpan w:val="2"/>
            <w:tcBorders>
              <w:top w:val="nil"/>
              <w:left w:val="single" w:sz="16" w:space="0" w:color="000000"/>
              <w:bottom w:val="single" w:sz="16" w:space="0" w:color="000000"/>
            </w:tcBorders>
            <w:shd w:val="clear" w:color="auto" w:fill="FFFFFF"/>
            <w:vAlign w:val="center"/>
          </w:tcPr>
          <w:p w14:paraId="2474E2F2"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2,369</w:t>
            </w:r>
          </w:p>
        </w:tc>
        <w:tc>
          <w:tcPr>
            <w:tcW w:w="1476" w:type="dxa"/>
            <w:gridSpan w:val="2"/>
            <w:tcBorders>
              <w:top w:val="nil"/>
              <w:bottom w:val="single" w:sz="16" w:space="0" w:color="000000"/>
            </w:tcBorders>
            <w:shd w:val="clear" w:color="auto" w:fill="FFFFFF"/>
            <w:vAlign w:val="center"/>
          </w:tcPr>
          <w:p w14:paraId="33331822"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1,258</w:t>
            </w:r>
          </w:p>
        </w:tc>
        <w:tc>
          <w:tcPr>
            <w:tcW w:w="1476" w:type="dxa"/>
            <w:gridSpan w:val="2"/>
            <w:tcBorders>
              <w:top w:val="nil"/>
              <w:bottom w:val="single" w:sz="16" w:space="0" w:color="000000"/>
            </w:tcBorders>
            <w:shd w:val="clear" w:color="auto" w:fill="FFFFFF"/>
            <w:vAlign w:val="center"/>
          </w:tcPr>
          <w:p w14:paraId="4A31AF5C"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,685</w:t>
            </w:r>
          </w:p>
        </w:tc>
        <w:tc>
          <w:tcPr>
            <w:tcW w:w="1030" w:type="dxa"/>
            <w:gridSpan w:val="2"/>
            <w:tcBorders>
              <w:top w:val="nil"/>
              <w:bottom w:val="single" w:sz="16" w:space="0" w:color="000000"/>
            </w:tcBorders>
            <w:shd w:val="clear" w:color="auto" w:fill="FFFFFF"/>
            <w:vAlign w:val="center"/>
          </w:tcPr>
          <w:p w14:paraId="6F21428C" w14:textId="77777777"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1,883</w:t>
            </w:r>
          </w:p>
        </w:tc>
        <w:tc>
          <w:tcPr>
            <w:tcW w:w="1030" w:type="dxa"/>
            <w:gridSpan w:val="2"/>
            <w:tcBorders>
              <w:top w:val="nil"/>
              <w:bottom w:val="single" w:sz="16" w:space="0" w:color="000000"/>
              <w:right w:val="single" w:sz="16" w:space="0" w:color="000000"/>
            </w:tcBorders>
            <w:shd w:val="clear" w:color="auto" w:fill="FFFFFF"/>
            <w:vAlign w:val="center"/>
          </w:tcPr>
          <w:p w14:paraId="6A02E4CD" w14:textId="69D9CBEC" w:rsidR="00092626" w:rsidRPr="00526612" w:rsidRDefault="00092626" w:rsidP="00011F91">
            <w:pPr>
              <w:autoSpaceDE w:val="0"/>
              <w:autoSpaceDN w:val="0"/>
              <w:adjustRightInd w:val="0"/>
              <w:spacing w:after="0" w:line="320" w:lineRule="atLeast"/>
              <w:ind w:left="60" w:right="60"/>
              <w:jc w:val="right"/>
              <w:rPr>
                <w:rFonts w:ascii="Arial" w:hAnsi="Arial" w:cs="Arial"/>
                <w:color w:val="000000"/>
                <w:sz w:val="18"/>
                <w:szCs w:val="18"/>
              </w:rPr>
            </w:pPr>
            <w:r w:rsidRPr="00526612">
              <w:rPr>
                <w:rFonts w:ascii="Arial" w:hAnsi="Arial" w:cs="Arial"/>
                <w:color w:val="000000"/>
                <w:sz w:val="18"/>
                <w:szCs w:val="18"/>
              </w:rPr>
              <w:t>,133</w:t>
            </w:r>
          </w:p>
        </w:tc>
      </w:tr>
      <w:tr w:rsidR="00092626" w:rsidRPr="00526612" w14:paraId="04BD5CB3" w14:textId="77777777" w:rsidTr="000969C0">
        <w:trPr>
          <w:cantSplit/>
        </w:trPr>
        <w:tc>
          <w:tcPr>
            <w:tcW w:w="8516" w:type="dxa"/>
            <w:gridSpan w:val="13"/>
            <w:tcBorders>
              <w:top w:val="nil"/>
              <w:left w:val="nil"/>
              <w:bottom w:val="nil"/>
              <w:right w:val="nil"/>
            </w:tcBorders>
            <w:shd w:val="clear" w:color="auto" w:fill="FFFFFF"/>
          </w:tcPr>
          <w:p w14:paraId="6E59C3E7" w14:textId="77777777" w:rsidR="00092626" w:rsidRPr="00526612" w:rsidRDefault="00092626" w:rsidP="00011F91">
            <w:pPr>
              <w:autoSpaceDE w:val="0"/>
              <w:autoSpaceDN w:val="0"/>
              <w:adjustRightInd w:val="0"/>
              <w:spacing w:after="0" w:line="320" w:lineRule="atLeast"/>
              <w:ind w:left="60" w:right="60"/>
              <w:rPr>
                <w:rFonts w:ascii="Arial" w:hAnsi="Arial" w:cs="Arial"/>
                <w:color w:val="000000"/>
                <w:sz w:val="18"/>
                <w:szCs w:val="18"/>
              </w:rPr>
            </w:pPr>
            <w:r w:rsidRPr="00526612">
              <w:rPr>
                <w:rFonts w:ascii="Arial" w:hAnsi="Arial" w:cs="Arial"/>
                <w:color w:val="000000"/>
                <w:sz w:val="18"/>
                <w:szCs w:val="18"/>
              </w:rPr>
              <w:t>a. Variable dependiente: P2 CARTERA CREDITOS</w:t>
            </w:r>
          </w:p>
        </w:tc>
      </w:tr>
    </w:tbl>
    <w:p w14:paraId="6F99E22B" w14:textId="77777777" w:rsidR="00092626" w:rsidRPr="00526612" w:rsidRDefault="00092626" w:rsidP="00092626">
      <w:pPr>
        <w:autoSpaceDE w:val="0"/>
        <w:autoSpaceDN w:val="0"/>
        <w:adjustRightInd w:val="0"/>
        <w:spacing w:after="0" w:line="400" w:lineRule="atLeast"/>
        <w:rPr>
          <w:rFonts w:ascii="Times New Roman" w:hAnsi="Times New Roman" w:cs="Times New Roman"/>
          <w:sz w:val="24"/>
          <w:szCs w:val="24"/>
        </w:rPr>
      </w:pPr>
    </w:p>
    <w:p w14:paraId="7D866CBA" w14:textId="2D521F22" w:rsidR="00092626" w:rsidRDefault="00092626" w:rsidP="00092626">
      <w:pPr>
        <w:rPr>
          <w:rFonts w:ascii="Times New Roman" w:hAnsi="Times New Roman" w:cs="Times New Roman"/>
          <w:sz w:val="24"/>
        </w:rPr>
      </w:pPr>
      <w:r w:rsidRPr="00B5656C">
        <w:rPr>
          <w:rFonts w:ascii="Times New Roman" w:hAnsi="Times New Roman" w:cs="Times New Roman"/>
          <w:sz w:val="24"/>
        </w:rPr>
        <w:t>Y=2.369+4.713X     donde Y es crecimiento de la cartera de créditos y X  es crecimiento del PIB</w:t>
      </w:r>
      <w:r w:rsidR="00B5656C">
        <w:rPr>
          <w:rFonts w:ascii="Times New Roman" w:hAnsi="Times New Roman" w:cs="Times New Roman"/>
          <w:sz w:val="24"/>
        </w:rPr>
        <w:t>.</w:t>
      </w:r>
    </w:p>
    <w:p w14:paraId="1C602EDC" w14:textId="1BC9F1E8" w:rsidR="00B5656C" w:rsidRPr="00B5656C" w:rsidRDefault="00B5656C" w:rsidP="00092626">
      <w:pPr>
        <w:rPr>
          <w:rFonts w:ascii="Times New Roman" w:hAnsi="Times New Roman" w:cs="Times New Roman"/>
          <w:sz w:val="24"/>
        </w:rPr>
      </w:pPr>
      <w:r>
        <w:rPr>
          <w:rFonts w:ascii="Times New Roman" w:hAnsi="Times New Roman" w:cs="Times New Roman"/>
          <w:sz w:val="24"/>
        </w:rPr>
        <w:t>Como la pendiente es positiva existe una relación directa entre estas dos variables.</w:t>
      </w:r>
    </w:p>
    <w:p w14:paraId="66FA73FD" w14:textId="46A53D02" w:rsidR="00092626" w:rsidRPr="00B5656C" w:rsidRDefault="00092626" w:rsidP="00092626">
      <w:pPr>
        <w:jc w:val="both"/>
        <w:rPr>
          <w:rFonts w:ascii="Times New Roman" w:hAnsi="Times New Roman" w:cs="Times New Roman"/>
          <w:sz w:val="24"/>
        </w:rPr>
      </w:pPr>
      <w:r w:rsidRPr="00B5656C">
        <w:rPr>
          <w:rFonts w:ascii="Times New Roman" w:hAnsi="Times New Roman" w:cs="Times New Roman"/>
          <w:sz w:val="24"/>
        </w:rPr>
        <w:t xml:space="preserve">Al ser la significancia de 0.133 mayor al 0.05, no existe una relación de dependencia  estadísticamente significativa entre el crecimiento de la cartera de créditos y el crecimiento del PIB en el periodo comprendido entre los años 2011 y 2017, razón por la cual podemos afirmar que la cartera de créditos no es afectada significativamente por el crecimiento del PIB en el periodo de estudio, por lo que es posible </w:t>
      </w:r>
      <w:r w:rsidR="00B5656C" w:rsidRPr="00B5656C">
        <w:rPr>
          <w:rFonts w:ascii="Times New Roman" w:hAnsi="Times New Roman" w:cs="Times New Roman"/>
          <w:sz w:val="24"/>
        </w:rPr>
        <w:t xml:space="preserve">aislar esta variable del análisis. </w:t>
      </w:r>
    </w:p>
    <w:p w14:paraId="4C224440" w14:textId="73062F7D" w:rsidR="00B5656C" w:rsidRPr="00B5656C" w:rsidRDefault="00B5656C" w:rsidP="00092626">
      <w:pPr>
        <w:jc w:val="both"/>
        <w:rPr>
          <w:rFonts w:ascii="Times New Roman" w:hAnsi="Times New Roman" w:cs="Times New Roman"/>
          <w:sz w:val="24"/>
          <w:lang w:val="es-MX"/>
        </w:rPr>
      </w:pPr>
      <w:r w:rsidRPr="00B5656C">
        <w:rPr>
          <w:rFonts w:ascii="Times New Roman" w:hAnsi="Times New Roman" w:cs="Times New Roman"/>
          <w:sz w:val="24"/>
        </w:rPr>
        <w:t xml:space="preserve">Realizando la regresión con el PIB como variable dependiente </w:t>
      </w:r>
      <w:r w:rsidRPr="00B5656C">
        <w:rPr>
          <w:rFonts w:ascii="Times New Roman" w:hAnsi="Times New Roman" w:cs="Times New Roman"/>
          <w:sz w:val="24"/>
          <w:lang w:val="es-MX"/>
        </w:rPr>
        <w:t xml:space="preserve"> la significancia es también mayor a 0.05, razón por la cual tampoco se puede establecer una relación</w:t>
      </w:r>
      <w:r w:rsidR="000969C0">
        <w:rPr>
          <w:rFonts w:ascii="Times New Roman" w:hAnsi="Times New Roman" w:cs="Times New Roman"/>
          <w:sz w:val="24"/>
          <w:lang w:val="es-MX"/>
        </w:rPr>
        <w:t xml:space="preserve"> estadísticamente </w:t>
      </w:r>
      <w:r w:rsidRPr="00B5656C">
        <w:rPr>
          <w:rFonts w:ascii="Times New Roman" w:hAnsi="Times New Roman" w:cs="Times New Roman"/>
          <w:sz w:val="24"/>
          <w:lang w:val="es-MX"/>
        </w:rPr>
        <w:t xml:space="preserve"> significativa.</w:t>
      </w:r>
    </w:p>
    <w:p w14:paraId="7F256AF9" w14:textId="77777777" w:rsidR="00DE779F" w:rsidRPr="004C2B19" w:rsidRDefault="62762CFD" w:rsidP="004C2B19">
      <w:pPr>
        <w:pStyle w:val="Prrafodelista"/>
        <w:numPr>
          <w:ilvl w:val="1"/>
          <w:numId w:val="8"/>
        </w:numPr>
        <w:spacing w:line="360" w:lineRule="auto"/>
        <w:rPr>
          <w:rFonts w:ascii="Times New Roman" w:hAnsi="Times New Roman" w:cs="Times New Roman"/>
          <w:b/>
          <w:bCs/>
          <w:sz w:val="24"/>
          <w:szCs w:val="24"/>
        </w:rPr>
      </w:pPr>
      <w:r w:rsidRPr="004C2B19">
        <w:rPr>
          <w:rFonts w:ascii="Times New Roman" w:hAnsi="Times New Roman" w:cs="Times New Roman"/>
          <w:b/>
          <w:bCs/>
          <w:sz w:val="24"/>
          <w:szCs w:val="24"/>
        </w:rPr>
        <w:t>Cartera de créditos Total</w:t>
      </w:r>
    </w:p>
    <w:p w14:paraId="7F256AFA" w14:textId="5181F8DF" w:rsidR="00773FF1" w:rsidRDefault="62762CFD" w:rsidP="004C2B19">
      <w:pPr>
        <w:spacing w:line="360" w:lineRule="auto"/>
        <w:jc w:val="both"/>
        <w:rPr>
          <w:rFonts w:ascii="Times New Roman" w:hAnsi="Times New Roman" w:cs="Times New Roman"/>
          <w:sz w:val="24"/>
          <w:szCs w:val="24"/>
        </w:rPr>
      </w:pPr>
      <w:r w:rsidRPr="004C2B19">
        <w:rPr>
          <w:rFonts w:ascii="Times New Roman" w:hAnsi="Times New Roman" w:cs="Times New Roman"/>
          <w:sz w:val="24"/>
          <w:szCs w:val="24"/>
        </w:rPr>
        <w:t>En el gráfico</w:t>
      </w:r>
      <w:r w:rsidR="00B5656C">
        <w:rPr>
          <w:rFonts w:ascii="Times New Roman" w:hAnsi="Times New Roman" w:cs="Times New Roman"/>
          <w:sz w:val="24"/>
          <w:szCs w:val="24"/>
        </w:rPr>
        <w:t xml:space="preserve"> siguiente podemos apreciar que</w:t>
      </w:r>
      <w:r w:rsidRPr="004C2B19">
        <w:rPr>
          <w:rFonts w:ascii="Times New Roman" w:hAnsi="Times New Roman" w:cs="Times New Roman"/>
          <w:sz w:val="24"/>
          <w:szCs w:val="24"/>
        </w:rPr>
        <w:t xml:space="preserve"> si bien la cartera total de créditos se incrementa año tras año desde el 2011 hasta el 2017, las tasas de crecimiento interanuales muestran una desaceleración que se acentúa después de las medidas, pasando de un crecimiento promedio del 19% antes a un crecimiento promedio del 14% después de las medidas.</w:t>
      </w:r>
    </w:p>
    <w:p w14:paraId="7F256AFB" w14:textId="23D9FE09" w:rsidR="00A71F81" w:rsidRDefault="00311FBE" w:rsidP="00EC4F8E">
      <w:pPr>
        <w:jc w:val="center"/>
        <w:rPr>
          <w:b/>
          <w:i/>
          <w:noProof/>
          <w:sz w:val="18"/>
          <w:lang w:eastAsia="es-BO"/>
        </w:rPr>
      </w:pPr>
      <w:r>
        <w:rPr>
          <w:b/>
          <w:i/>
          <w:noProof/>
          <w:sz w:val="18"/>
          <w:lang w:eastAsia="es-BO"/>
        </w:rPr>
        <w:drawing>
          <wp:inline distT="0" distB="0" distL="0" distR="0" wp14:anchorId="180FEB93" wp14:editId="1E81FC68">
            <wp:extent cx="4678680" cy="214122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78680" cy="2141220"/>
                    </a:xfrm>
                    <a:prstGeom prst="rect">
                      <a:avLst/>
                    </a:prstGeom>
                    <a:noFill/>
                  </pic:spPr>
                </pic:pic>
              </a:graphicData>
            </a:graphic>
          </wp:inline>
        </w:drawing>
      </w:r>
    </w:p>
    <w:p w14:paraId="7F256AFC" w14:textId="00DD32A4" w:rsidR="00F63380" w:rsidRPr="00A71F81" w:rsidRDefault="000969C0" w:rsidP="00EC4F8E">
      <w:pPr>
        <w:spacing w:after="0"/>
        <w:ind w:firstLine="708"/>
      </w:pPr>
      <w:r>
        <w:rPr>
          <w:b/>
          <w:i/>
          <w:noProof/>
          <w:sz w:val="18"/>
          <w:lang w:eastAsia="es-BO"/>
        </w:rPr>
        <w:t>GRAFICO 2</w:t>
      </w:r>
      <w:r w:rsidR="00490D48">
        <w:rPr>
          <w:b/>
          <w:i/>
          <w:noProof/>
          <w:sz w:val="18"/>
          <w:lang w:eastAsia="es-BO"/>
        </w:rPr>
        <w:t xml:space="preserve">: </w:t>
      </w:r>
      <w:r w:rsidR="00F63380" w:rsidRPr="00A71F81">
        <w:rPr>
          <w:b/>
          <w:i/>
          <w:noProof/>
          <w:sz w:val="18"/>
          <w:lang w:eastAsia="es-BO"/>
        </w:rPr>
        <w:t>Fuente ASFI y Finrural</w:t>
      </w:r>
      <w:r w:rsidR="00AC56DA" w:rsidRPr="00A71F81">
        <w:rPr>
          <w:b/>
          <w:i/>
          <w:noProof/>
          <w:sz w:val="18"/>
          <w:lang w:eastAsia="es-BO"/>
        </w:rPr>
        <w:t>. (Elaboración Propia)</w:t>
      </w:r>
    </w:p>
    <w:p w14:paraId="7F256AFD" w14:textId="77777777" w:rsidR="00791152" w:rsidRPr="004C2B19" w:rsidRDefault="00421853"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Por lo observado es posible afirmar que considerando la variable cartera total, las medidas no han logrado acelerar el crecimiento de la cartera total de créditos en Bolivia, </w:t>
      </w:r>
      <w:r w:rsidR="00F63380" w:rsidRPr="004C2B19">
        <w:rPr>
          <w:rFonts w:ascii="Times New Roman" w:hAnsi="Times New Roman" w:cs="Times New Roman"/>
          <w:sz w:val="24"/>
        </w:rPr>
        <w:t>más</w:t>
      </w:r>
      <w:r w:rsidRPr="004C2B19">
        <w:rPr>
          <w:rFonts w:ascii="Times New Roman" w:hAnsi="Times New Roman" w:cs="Times New Roman"/>
          <w:sz w:val="24"/>
        </w:rPr>
        <w:t xml:space="preserve"> al contrario se </w:t>
      </w:r>
      <w:r w:rsidR="0066240F" w:rsidRPr="004C2B19">
        <w:rPr>
          <w:rFonts w:ascii="Times New Roman" w:hAnsi="Times New Roman" w:cs="Times New Roman"/>
          <w:sz w:val="24"/>
        </w:rPr>
        <w:t>ha</w:t>
      </w:r>
      <w:r w:rsidRPr="004C2B19">
        <w:rPr>
          <w:rFonts w:ascii="Times New Roman" w:hAnsi="Times New Roman" w:cs="Times New Roman"/>
          <w:sz w:val="24"/>
        </w:rPr>
        <w:t>n desacelerado, esto p</w:t>
      </w:r>
      <w:r w:rsidR="00C775CC" w:rsidRPr="004C2B19">
        <w:rPr>
          <w:rFonts w:ascii="Times New Roman" w:hAnsi="Times New Roman" w:cs="Times New Roman"/>
          <w:sz w:val="24"/>
        </w:rPr>
        <w:t>odría</w:t>
      </w:r>
      <w:r w:rsidRPr="004C2B19">
        <w:rPr>
          <w:rFonts w:ascii="Times New Roman" w:hAnsi="Times New Roman" w:cs="Times New Roman"/>
          <w:sz w:val="24"/>
        </w:rPr>
        <w:t xml:space="preserve"> deberse a varios factores entre los que podemos destacar:</w:t>
      </w:r>
    </w:p>
    <w:p w14:paraId="7F256AFE" w14:textId="36D82424" w:rsidR="002318BA" w:rsidRPr="004C2B19" w:rsidRDefault="0066240F" w:rsidP="004C2B19">
      <w:pPr>
        <w:pStyle w:val="Prrafodelista"/>
        <w:numPr>
          <w:ilvl w:val="0"/>
          <w:numId w:val="13"/>
        </w:numPr>
        <w:spacing w:after="0" w:line="360" w:lineRule="auto"/>
        <w:jc w:val="both"/>
        <w:rPr>
          <w:rFonts w:ascii="Times New Roman" w:hAnsi="Times New Roman" w:cs="Times New Roman"/>
          <w:sz w:val="24"/>
        </w:rPr>
      </w:pPr>
      <w:r w:rsidRPr="004C2B19">
        <w:rPr>
          <w:rFonts w:ascii="Times New Roman" w:hAnsi="Times New Roman" w:cs="Times New Roman"/>
          <w:sz w:val="24"/>
        </w:rPr>
        <w:t>Los bancos orientan</w:t>
      </w:r>
      <w:r w:rsidR="00C775CC" w:rsidRPr="004C2B19">
        <w:rPr>
          <w:rFonts w:ascii="Times New Roman" w:hAnsi="Times New Roman" w:cs="Times New Roman"/>
          <w:sz w:val="24"/>
        </w:rPr>
        <w:t xml:space="preserve"> sus esfuerzos a cumplir los cupos de cartera exigidos, </w:t>
      </w:r>
      <w:r w:rsidRPr="004C2B19">
        <w:rPr>
          <w:rFonts w:ascii="Times New Roman" w:hAnsi="Times New Roman" w:cs="Times New Roman"/>
          <w:sz w:val="24"/>
        </w:rPr>
        <w:t>pero, solo en</w:t>
      </w:r>
      <w:r w:rsidR="00C775CC" w:rsidRPr="004C2B19">
        <w:rPr>
          <w:rFonts w:ascii="Times New Roman" w:hAnsi="Times New Roman" w:cs="Times New Roman"/>
          <w:sz w:val="24"/>
        </w:rPr>
        <w:t xml:space="preserve"> parte </w:t>
      </w:r>
      <w:r w:rsidR="00B36DB7" w:rsidRPr="004C2B19">
        <w:rPr>
          <w:rFonts w:ascii="Times New Roman" w:hAnsi="Times New Roman" w:cs="Times New Roman"/>
          <w:sz w:val="24"/>
        </w:rPr>
        <w:t>atacando los</w:t>
      </w:r>
      <w:r w:rsidR="00C775CC" w:rsidRPr="004C2B19">
        <w:rPr>
          <w:rFonts w:ascii="Times New Roman" w:hAnsi="Times New Roman" w:cs="Times New Roman"/>
          <w:sz w:val="24"/>
        </w:rPr>
        <w:t xml:space="preserve"> sectores priorizados por el decreto (productivo y vivienda social</w:t>
      </w:r>
      <w:r w:rsidR="009A099A" w:rsidRPr="004C2B19">
        <w:rPr>
          <w:rFonts w:ascii="Times New Roman" w:hAnsi="Times New Roman" w:cs="Times New Roman"/>
          <w:sz w:val="24"/>
        </w:rPr>
        <w:t>)</w:t>
      </w:r>
      <w:r w:rsidRPr="004C2B19">
        <w:rPr>
          <w:rFonts w:ascii="Times New Roman" w:hAnsi="Times New Roman" w:cs="Times New Roman"/>
          <w:sz w:val="24"/>
        </w:rPr>
        <w:t>, ya que</w:t>
      </w:r>
      <w:r w:rsidR="009A099A" w:rsidRPr="004C2B19">
        <w:rPr>
          <w:rFonts w:ascii="Times New Roman" w:hAnsi="Times New Roman" w:cs="Times New Roman"/>
          <w:sz w:val="24"/>
        </w:rPr>
        <w:t xml:space="preserve"> en parte</w:t>
      </w:r>
      <w:r w:rsidRPr="004C2B19">
        <w:rPr>
          <w:rFonts w:ascii="Times New Roman" w:hAnsi="Times New Roman" w:cs="Times New Roman"/>
          <w:sz w:val="24"/>
        </w:rPr>
        <w:t xml:space="preserve"> </w:t>
      </w:r>
      <w:r w:rsidR="00AC56DA" w:rsidRPr="004C2B19">
        <w:rPr>
          <w:rFonts w:ascii="Times New Roman" w:hAnsi="Times New Roman" w:cs="Times New Roman"/>
          <w:sz w:val="24"/>
        </w:rPr>
        <w:t>logran</w:t>
      </w:r>
      <w:r w:rsidRPr="004C2B19">
        <w:rPr>
          <w:rFonts w:ascii="Times New Roman" w:hAnsi="Times New Roman" w:cs="Times New Roman"/>
          <w:sz w:val="24"/>
        </w:rPr>
        <w:t xml:space="preserve"> esta </w:t>
      </w:r>
      <w:r w:rsidR="00B36DB7" w:rsidRPr="004C2B19">
        <w:rPr>
          <w:rFonts w:ascii="Times New Roman" w:hAnsi="Times New Roman" w:cs="Times New Roman"/>
          <w:sz w:val="24"/>
        </w:rPr>
        <w:t>meta reclasificando</w:t>
      </w:r>
      <w:r w:rsidR="009A099A" w:rsidRPr="004C2B19">
        <w:rPr>
          <w:rFonts w:ascii="Times New Roman" w:hAnsi="Times New Roman" w:cs="Times New Roman"/>
          <w:sz w:val="24"/>
        </w:rPr>
        <w:t xml:space="preserve"> cartera.</w:t>
      </w:r>
    </w:p>
    <w:p w14:paraId="7F256AFF" w14:textId="77777777" w:rsidR="002318BA" w:rsidRPr="004C2B19" w:rsidRDefault="002318BA" w:rsidP="004C2B19">
      <w:pPr>
        <w:pStyle w:val="Prrafodelista"/>
        <w:spacing w:after="0" w:line="360" w:lineRule="auto"/>
        <w:jc w:val="both"/>
        <w:rPr>
          <w:rFonts w:ascii="Times New Roman" w:hAnsi="Times New Roman" w:cs="Times New Roman"/>
          <w:sz w:val="24"/>
        </w:rPr>
      </w:pPr>
    </w:p>
    <w:p w14:paraId="7F256B00" w14:textId="77777777" w:rsidR="009A099A" w:rsidRPr="004C2B19" w:rsidRDefault="009A099A" w:rsidP="004C2B19">
      <w:pPr>
        <w:pStyle w:val="Prrafodelista"/>
        <w:numPr>
          <w:ilvl w:val="0"/>
          <w:numId w:val="13"/>
        </w:numPr>
        <w:spacing w:after="0" w:line="360" w:lineRule="auto"/>
        <w:jc w:val="both"/>
        <w:rPr>
          <w:rFonts w:ascii="Times New Roman" w:hAnsi="Times New Roman" w:cs="Times New Roman"/>
          <w:sz w:val="24"/>
        </w:rPr>
      </w:pPr>
      <w:r w:rsidRPr="004C2B19">
        <w:rPr>
          <w:rFonts w:ascii="Times New Roman" w:hAnsi="Times New Roman" w:cs="Times New Roman"/>
          <w:sz w:val="24"/>
        </w:rPr>
        <w:t>Las demás instituciones Cooperativas, IFDs e IFVs les cuesta mucho crecer e incluso sostener sus carteras por la agresividad con la que compiten los bancos</w:t>
      </w:r>
      <w:r w:rsidR="0066240F" w:rsidRPr="004C2B19">
        <w:rPr>
          <w:rFonts w:ascii="Times New Roman" w:hAnsi="Times New Roman" w:cs="Times New Roman"/>
          <w:sz w:val="24"/>
        </w:rPr>
        <w:t xml:space="preserve"> en microcrédito y crédito de vivienda respectivamente</w:t>
      </w:r>
      <w:r w:rsidRPr="004C2B19">
        <w:rPr>
          <w:rFonts w:ascii="Times New Roman" w:hAnsi="Times New Roman" w:cs="Times New Roman"/>
          <w:sz w:val="24"/>
        </w:rPr>
        <w:t>.</w:t>
      </w:r>
    </w:p>
    <w:p w14:paraId="7F256B01" w14:textId="77777777" w:rsidR="002318BA" w:rsidRPr="004C2B19" w:rsidRDefault="002318BA" w:rsidP="004C2B19">
      <w:pPr>
        <w:pStyle w:val="Prrafodelista"/>
        <w:spacing w:after="0" w:line="360" w:lineRule="auto"/>
        <w:jc w:val="both"/>
        <w:rPr>
          <w:rFonts w:ascii="Times New Roman" w:hAnsi="Times New Roman" w:cs="Times New Roman"/>
          <w:sz w:val="24"/>
        </w:rPr>
      </w:pPr>
    </w:p>
    <w:p w14:paraId="7F256B02" w14:textId="7F7FCF4B" w:rsidR="002318BA" w:rsidRPr="004C2B19" w:rsidRDefault="009A099A" w:rsidP="004C2B19">
      <w:pPr>
        <w:pStyle w:val="Prrafodelista"/>
        <w:numPr>
          <w:ilvl w:val="0"/>
          <w:numId w:val="13"/>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Los bancos al no poder crecer </w:t>
      </w:r>
      <w:r w:rsidR="00B36DB7" w:rsidRPr="004C2B19">
        <w:rPr>
          <w:rFonts w:ascii="Times New Roman" w:hAnsi="Times New Roman" w:cs="Times New Roman"/>
          <w:sz w:val="24"/>
        </w:rPr>
        <w:t>en sectores</w:t>
      </w:r>
      <w:r w:rsidRPr="004C2B19">
        <w:rPr>
          <w:rFonts w:ascii="Times New Roman" w:hAnsi="Times New Roman" w:cs="Times New Roman"/>
          <w:sz w:val="24"/>
        </w:rPr>
        <w:t xml:space="preserve"> tradicionale</w:t>
      </w:r>
      <w:r w:rsidR="00AC56DA" w:rsidRPr="004C2B19">
        <w:rPr>
          <w:rFonts w:ascii="Times New Roman" w:hAnsi="Times New Roman" w:cs="Times New Roman"/>
          <w:sz w:val="24"/>
        </w:rPr>
        <w:t>s</w:t>
      </w:r>
      <w:r w:rsidRPr="004C2B19">
        <w:rPr>
          <w:rFonts w:ascii="Times New Roman" w:hAnsi="Times New Roman" w:cs="Times New Roman"/>
          <w:sz w:val="24"/>
        </w:rPr>
        <w:t xml:space="preserve"> y para no agrandar la brecha que les falta para llegar a los cupos </w:t>
      </w:r>
      <w:r w:rsidR="00B36DB7" w:rsidRPr="004C2B19">
        <w:rPr>
          <w:rFonts w:ascii="Times New Roman" w:hAnsi="Times New Roman" w:cs="Times New Roman"/>
          <w:sz w:val="24"/>
        </w:rPr>
        <w:t>de cartera</w:t>
      </w:r>
      <w:r w:rsidRPr="004C2B19">
        <w:rPr>
          <w:rFonts w:ascii="Times New Roman" w:hAnsi="Times New Roman" w:cs="Times New Roman"/>
          <w:sz w:val="24"/>
        </w:rPr>
        <w:t>, destinan parte de sus recursos a inversiones temporarias como bonos del gobierno y otras.</w:t>
      </w:r>
    </w:p>
    <w:p w14:paraId="7F256B03" w14:textId="77777777" w:rsidR="002318BA" w:rsidRPr="004C2B19" w:rsidRDefault="002318BA" w:rsidP="004C2B19">
      <w:pPr>
        <w:pStyle w:val="Prrafodelista"/>
        <w:spacing w:after="0" w:line="360" w:lineRule="auto"/>
        <w:jc w:val="both"/>
        <w:rPr>
          <w:rFonts w:ascii="Times New Roman" w:hAnsi="Times New Roman" w:cs="Times New Roman"/>
          <w:sz w:val="12"/>
        </w:rPr>
      </w:pPr>
    </w:p>
    <w:p w14:paraId="7F256B04" w14:textId="1D4FAA6E" w:rsidR="009A099A" w:rsidRPr="004C2B19" w:rsidRDefault="0066240F"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A partir de las dificultades que tienen las instituciones financieras no bancarias para crecer, es importante ahora </w:t>
      </w:r>
      <w:r w:rsidR="00B36DB7" w:rsidRPr="004C2B19">
        <w:rPr>
          <w:rFonts w:ascii="Times New Roman" w:hAnsi="Times New Roman" w:cs="Times New Roman"/>
          <w:sz w:val="24"/>
        </w:rPr>
        <w:t>analizar cómo</w:t>
      </w:r>
      <w:r w:rsidR="00B557D1" w:rsidRPr="004C2B19">
        <w:rPr>
          <w:rFonts w:ascii="Times New Roman" w:hAnsi="Times New Roman" w:cs="Times New Roman"/>
          <w:sz w:val="24"/>
        </w:rPr>
        <w:t xml:space="preserve"> está variando la participación de estas en la cartera de créditos total.</w:t>
      </w:r>
    </w:p>
    <w:p w14:paraId="7F256B05" w14:textId="77777777" w:rsidR="00B557D1" w:rsidRDefault="00B557D1" w:rsidP="009A099A"/>
    <w:p w14:paraId="7F256B06" w14:textId="77777777" w:rsidR="00B557D1" w:rsidRDefault="00EC4F8E" w:rsidP="00EC4F8E">
      <w:pPr>
        <w:jc w:val="center"/>
      </w:pPr>
      <w:r>
        <w:rPr>
          <w:noProof/>
          <w:lang w:eastAsia="es-BO"/>
        </w:rPr>
        <w:drawing>
          <wp:inline distT="0" distB="0" distL="0" distR="0" wp14:anchorId="7F256B91" wp14:editId="1CBFE5C2">
            <wp:extent cx="4578350" cy="2767965"/>
            <wp:effectExtent l="0" t="0" r="0" b="0"/>
            <wp:docPr id="187834362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0">
                      <a:extLst>
                        <a:ext uri="{28A0092B-C50C-407E-A947-70E740481C1C}">
                          <a14:useLocalDpi xmlns:a14="http://schemas.microsoft.com/office/drawing/2010/main" val="0"/>
                        </a:ext>
                      </a:extLst>
                    </a:blip>
                    <a:stretch>
                      <a:fillRect/>
                    </a:stretch>
                  </pic:blipFill>
                  <pic:spPr>
                    <a:xfrm>
                      <a:off x="0" y="0"/>
                      <a:ext cx="4578350" cy="2767965"/>
                    </a:xfrm>
                    <a:prstGeom prst="rect">
                      <a:avLst/>
                    </a:prstGeom>
                  </pic:spPr>
                </pic:pic>
              </a:graphicData>
            </a:graphic>
          </wp:inline>
        </w:drawing>
      </w:r>
    </w:p>
    <w:p w14:paraId="7F256B07" w14:textId="489A84B1" w:rsidR="00F63380" w:rsidRPr="00F63380" w:rsidRDefault="000969C0" w:rsidP="00F63380">
      <w:pPr>
        <w:pStyle w:val="Prrafodelista"/>
        <w:ind w:left="1080"/>
        <w:rPr>
          <w:b/>
          <w:i/>
          <w:noProof/>
          <w:sz w:val="18"/>
          <w:lang w:eastAsia="es-BO"/>
        </w:rPr>
      </w:pPr>
      <w:r>
        <w:rPr>
          <w:b/>
          <w:i/>
          <w:noProof/>
          <w:sz w:val="18"/>
          <w:lang w:eastAsia="es-BO"/>
        </w:rPr>
        <w:t>GRAFICO 3</w:t>
      </w:r>
      <w:r w:rsidR="00490D48">
        <w:rPr>
          <w:b/>
          <w:i/>
          <w:noProof/>
          <w:sz w:val="18"/>
          <w:lang w:eastAsia="es-BO"/>
        </w:rPr>
        <w:t xml:space="preserve">: </w:t>
      </w:r>
      <w:r w:rsidR="00F63380" w:rsidRPr="00F63380">
        <w:rPr>
          <w:b/>
          <w:i/>
          <w:noProof/>
          <w:sz w:val="18"/>
          <w:lang w:eastAsia="es-BO"/>
        </w:rPr>
        <w:t>Fuente ASFI y Finrural</w:t>
      </w:r>
      <w:r w:rsidR="00AC56DA">
        <w:rPr>
          <w:b/>
          <w:i/>
          <w:noProof/>
          <w:sz w:val="18"/>
          <w:lang w:eastAsia="es-BO"/>
        </w:rPr>
        <w:t>.(</w:t>
      </w:r>
      <w:r w:rsidR="00AC56DA" w:rsidRPr="00AC56DA">
        <w:rPr>
          <w:b/>
          <w:i/>
          <w:noProof/>
          <w:sz w:val="18"/>
          <w:lang w:eastAsia="es-BO"/>
        </w:rPr>
        <w:t xml:space="preserve"> </w:t>
      </w:r>
      <w:r w:rsidR="00AC56DA">
        <w:rPr>
          <w:b/>
          <w:i/>
          <w:noProof/>
          <w:sz w:val="18"/>
          <w:lang w:eastAsia="es-BO"/>
        </w:rPr>
        <w:t>Elaboración Propia)</w:t>
      </w:r>
    </w:p>
    <w:p w14:paraId="7F256B08" w14:textId="2F99B1E0" w:rsidR="00B557D1" w:rsidRPr="004C2B19" w:rsidRDefault="00636784"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El sistema financiero está cambiando rápidamente de uno de diferentes tipos de instituciones que brindan no solo servicios financieros, sino también no financieros, a un sistema únicamente bancario con solo servicios financieros. Este hecho se acelera a partir del 2014 como consecuencia directa de las medidas estudiadas ya que orienta a los bancos a buscar nuevos clientes en segmentos atendidos po</w:t>
      </w:r>
      <w:r w:rsidR="004960AA" w:rsidRPr="004C2B19">
        <w:rPr>
          <w:rFonts w:ascii="Times New Roman" w:hAnsi="Times New Roman" w:cs="Times New Roman"/>
          <w:sz w:val="24"/>
        </w:rPr>
        <w:t xml:space="preserve">r </w:t>
      </w:r>
      <w:r w:rsidR="00B36DB7" w:rsidRPr="004C2B19">
        <w:rPr>
          <w:rFonts w:ascii="Times New Roman" w:hAnsi="Times New Roman" w:cs="Times New Roman"/>
          <w:sz w:val="24"/>
        </w:rPr>
        <w:t>cooperativas</w:t>
      </w:r>
      <w:r w:rsidR="004960AA" w:rsidRPr="004C2B19">
        <w:rPr>
          <w:rFonts w:ascii="Times New Roman" w:hAnsi="Times New Roman" w:cs="Times New Roman"/>
          <w:sz w:val="24"/>
        </w:rPr>
        <w:t>, IFDs e IFVs y</w:t>
      </w:r>
      <w:r w:rsidRPr="004C2B19">
        <w:rPr>
          <w:rFonts w:ascii="Times New Roman" w:hAnsi="Times New Roman" w:cs="Times New Roman"/>
          <w:sz w:val="24"/>
        </w:rPr>
        <w:t xml:space="preserve"> por otra parte estas instituciones por su estructura de costos no pueden prestar a las tasas </w:t>
      </w:r>
      <w:r w:rsidR="002724A3" w:rsidRPr="004C2B19">
        <w:rPr>
          <w:rFonts w:ascii="Times New Roman" w:hAnsi="Times New Roman" w:cs="Times New Roman"/>
          <w:sz w:val="24"/>
        </w:rPr>
        <w:t>definidas por los decretos.</w:t>
      </w:r>
    </w:p>
    <w:p w14:paraId="7F256B0B" w14:textId="137E61E7" w:rsidR="002724A3" w:rsidRPr="004C2B19" w:rsidRDefault="002724A3"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Las instituciones más afectadas por las medidas son la Instituciones financieras de desarrollo y las instituciones de vivienda, que antes de las medidas tenían el 8% de la cartera del sistema y ahora solo tienen el 5%, </w:t>
      </w:r>
      <w:r w:rsidR="002A756B" w:rsidRPr="004C2B19">
        <w:rPr>
          <w:rFonts w:ascii="Times New Roman" w:hAnsi="Times New Roman" w:cs="Times New Roman"/>
          <w:sz w:val="24"/>
        </w:rPr>
        <w:t>estas tienden a desaparecer, ya que,</w:t>
      </w:r>
      <w:r w:rsidRPr="004C2B19">
        <w:rPr>
          <w:rFonts w:ascii="Times New Roman" w:hAnsi="Times New Roman" w:cs="Times New Roman"/>
          <w:sz w:val="24"/>
        </w:rPr>
        <w:t xml:space="preserve"> por las tasas reguladas, su estructura de costos y su tamaño pequeño, no pueden competir con los bancos.</w:t>
      </w:r>
    </w:p>
    <w:p w14:paraId="7F256B0C" w14:textId="77777777" w:rsidR="00B557D1" w:rsidRPr="004C2B19" w:rsidRDefault="002724A3"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Lo grave si des</w:t>
      </w:r>
      <w:r w:rsidR="00186D5C" w:rsidRPr="004C2B19">
        <w:rPr>
          <w:rFonts w:ascii="Times New Roman" w:hAnsi="Times New Roman" w:cs="Times New Roman"/>
          <w:sz w:val="24"/>
        </w:rPr>
        <w:t>a</w:t>
      </w:r>
      <w:r w:rsidRPr="004C2B19">
        <w:rPr>
          <w:rFonts w:ascii="Times New Roman" w:hAnsi="Times New Roman" w:cs="Times New Roman"/>
          <w:sz w:val="24"/>
        </w:rPr>
        <w:t>parecen estas instituciones es que muchos de s</w:t>
      </w:r>
      <w:r w:rsidR="00186D5C" w:rsidRPr="004C2B19">
        <w:rPr>
          <w:rFonts w:ascii="Times New Roman" w:hAnsi="Times New Roman" w:cs="Times New Roman"/>
          <w:sz w:val="24"/>
        </w:rPr>
        <w:t>us clientes (los que se prestan montos pequeños) de zonas periurbana</w:t>
      </w:r>
      <w:r w:rsidRPr="004C2B19">
        <w:rPr>
          <w:rFonts w:ascii="Times New Roman" w:hAnsi="Times New Roman" w:cs="Times New Roman"/>
          <w:sz w:val="24"/>
        </w:rPr>
        <w:t>s, pero, fundamentalmen</w:t>
      </w:r>
      <w:r w:rsidR="00186D5C" w:rsidRPr="004C2B19">
        <w:rPr>
          <w:rFonts w:ascii="Times New Roman" w:hAnsi="Times New Roman" w:cs="Times New Roman"/>
          <w:sz w:val="24"/>
        </w:rPr>
        <w:t xml:space="preserve">te de zonas rurales alejadas de centros urbanos, en donde muchas veces las IFDs son únicos oferentes, se quedarían sin alternativas de financiamiento. </w:t>
      </w:r>
    </w:p>
    <w:p w14:paraId="7F256B0D" w14:textId="671038A7" w:rsidR="002000B8" w:rsidRPr="004C2B19" w:rsidRDefault="00186D5C"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Esto último demuestra que se está afectando con las medidas la sostenibilidad de los servicios financieros en áreas rurales, afectando la pluralidad y diversidad de la oferta de servicios financieros con los que actualmente cuenta el sistema, dando lugar al surgimiento de actores ilegales o usureros y peor aun afectando </w:t>
      </w:r>
      <w:r w:rsidR="002000B8" w:rsidRPr="004C2B19">
        <w:rPr>
          <w:rFonts w:ascii="Times New Roman" w:hAnsi="Times New Roman" w:cs="Times New Roman"/>
          <w:sz w:val="24"/>
        </w:rPr>
        <w:t>el acceso universal a los servicios financieros.</w:t>
      </w:r>
    </w:p>
    <w:p w14:paraId="7F256B0E" w14:textId="600FC06D" w:rsidR="00186D5C" w:rsidRDefault="004960AA"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Un sistema financiero que</w:t>
      </w:r>
      <w:r w:rsidR="002000B8" w:rsidRPr="004C2B19">
        <w:rPr>
          <w:rFonts w:ascii="Times New Roman" w:hAnsi="Times New Roman" w:cs="Times New Roman"/>
          <w:sz w:val="24"/>
        </w:rPr>
        <w:t xml:space="preserve"> cierra sus puertas a los más pobres es la expresión más liberal de un modelo social comunitario.</w:t>
      </w:r>
      <w:sdt>
        <w:sdtPr>
          <w:rPr>
            <w:rFonts w:ascii="Times New Roman" w:hAnsi="Times New Roman" w:cs="Times New Roman"/>
            <w:sz w:val="24"/>
          </w:rPr>
          <w:id w:val="1354075467"/>
          <w:citation/>
        </w:sdtPr>
        <w:sdtEndPr/>
        <w:sdtContent>
          <w:r w:rsidR="00202117">
            <w:rPr>
              <w:rFonts w:ascii="Times New Roman" w:hAnsi="Times New Roman" w:cs="Times New Roman"/>
              <w:sz w:val="24"/>
            </w:rPr>
            <w:fldChar w:fldCharType="begin"/>
          </w:r>
          <w:r w:rsidR="00202117">
            <w:rPr>
              <w:rFonts w:ascii="Times New Roman" w:hAnsi="Times New Roman" w:cs="Times New Roman"/>
              <w:sz w:val="24"/>
            </w:rPr>
            <w:instrText xml:space="preserve"> CITATION Jos14 \l 16394 </w:instrText>
          </w:r>
          <w:r w:rsidR="00202117">
            <w:rPr>
              <w:rFonts w:ascii="Times New Roman" w:hAnsi="Times New Roman" w:cs="Times New Roman"/>
              <w:sz w:val="24"/>
            </w:rPr>
            <w:fldChar w:fldCharType="separate"/>
          </w:r>
          <w:r w:rsidR="00202117">
            <w:rPr>
              <w:rFonts w:ascii="Times New Roman" w:hAnsi="Times New Roman" w:cs="Times New Roman"/>
              <w:noProof/>
              <w:sz w:val="24"/>
            </w:rPr>
            <w:t xml:space="preserve"> </w:t>
          </w:r>
          <w:r w:rsidR="00202117" w:rsidRPr="00202117">
            <w:rPr>
              <w:rFonts w:ascii="Times New Roman" w:hAnsi="Times New Roman" w:cs="Times New Roman"/>
              <w:noProof/>
              <w:sz w:val="24"/>
            </w:rPr>
            <w:t>(Auad, 2014)</w:t>
          </w:r>
          <w:r w:rsidR="00202117">
            <w:rPr>
              <w:rFonts w:ascii="Times New Roman" w:hAnsi="Times New Roman" w:cs="Times New Roman"/>
              <w:sz w:val="24"/>
            </w:rPr>
            <w:fldChar w:fldCharType="end"/>
          </w:r>
        </w:sdtContent>
      </w:sdt>
    </w:p>
    <w:p w14:paraId="45C4650A" w14:textId="77777777" w:rsidR="000969C0" w:rsidRPr="004C2B19" w:rsidRDefault="000969C0" w:rsidP="004C2B19">
      <w:pPr>
        <w:spacing w:after="0" w:line="360" w:lineRule="auto"/>
        <w:jc w:val="both"/>
        <w:rPr>
          <w:rFonts w:ascii="Times New Roman" w:hAnsi="Times New Roman" w:cs="Times New Roman"/>
          <w:sz w:val="24"/>
        </w:rPr>
      </w:pPr>
    </w:p>
    <w:p w14:paraId="7F256B0F" w14:textId="77777777" w:rsidR="00EA436E" w:rsidRPr="004C2B19" w:rsidRDefault="00EA436E" w:rsidP="004C2B19">
      <w:pPr>
        <w:pStyle w:val="Prrafodelista"/>
        <w:numPr>
          <w:ilvl w:val="1"/>
          <w:numId w:val="8"/>
        </w:numPr>
        <w:spacing w:after="0" w:line="360" w:lineRule="auto"/>
        <w:rPr>
          <w:rFonts w:ascii="Times New Roman" w:hAnsi="Times New Roman" w:cs="Times New Roman"/>
          <w:b/>
          <w:sz w:val="24"/>
        </w:rPr>
      </w:pPr>
      <w:r w:rsidRPr="004C2B19">
        <w:rPr>
          <w:rFonts w:ascii="Times New Roman" w:hAnsi="Times New Roman" w:cs="Times New Roman"/>
          <w:b/>
          <w:sz w:val="24"/>
        </w:rPr>
        <w:t>Carte</w:t>
      </w:r>
      <w:r w:rsidR="00224E0E" w:rsidRPr="004C2B19">
        <w:rPr>
          <w:rFonts w:ascii="Times New Roman" w:hAnsi="Times New Roman" w:cs="Times New Roman"/>
          <w:b/>
          <w:sz w:val="24"/>
        </w:rPr>
        <w:t>r</w:t>
      </w:r>
      <w:r w:rsidRPr="004C2B19">
        <w:rPr>
          <w:rFonts w:ascii="Times New Roman" w:hAnsi="Times New Roman" w:cs="Times New Roman"/>
          <w:b/>
          <w:sz w:val="24"/>
        </w:rPr>
        <w:t>a de créditos productivos</w:t>
      </w:r>
    </w:p>
    <w:p w14:paraId="7F256B10" w14:textId="676139A1" w:rsidR="002000B8" w:rsidRPr="004C2B19" w:rsidRDefault="004960AA"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Como se puede apreciar a continuación la cartera </w:t>
      </w:r>
      <w:r w:rsidR="002A756B" w:rsidRPr="004C2B19">
        <w:rPr>
          <w:rFonts w:ascii="Times New Roman" w:hAnsi="Times New Roman" w:cs="Times New Roman"/>
          <w:sz w:val="24"/>
        </w:rPr>
        <w:t>productiva si</w:t>
      </w:r>
      <w:r w:rsidRPr="004C2B19">
        <w:rPr>
          <w:rFonts w:ascii="Times New Roman" w:hAnsi="Times New Roman" w:cs="Times New Roman"/>
          <w:sz w:val="24"/>
        </w:rPr>
        <w:t xml:space="preserve"> muestra una aceleración con las medidas, gana</w:t>
      </w:r>
      <w:r w:rsidR="00B36DB7" w:rsidRPr="004C2B19">
        <w:rPr>
          <w:rFonts w:ascii="Times New Roman" w:hAnsi="Times New Roman" w:cs="Times New Roman"/>
          <w:sz w:val="24"/>
        </w:rPr>
        <w:t>n</w:t>
      </w:r>
      <w:r w:rsidRPr="004C2B19">
        <w:rPr>
          <w:rFonts w:ascii="Times New Roman" w:hAnsi="Times New Roman" w:cs="Times New Roman"/>
          <w:sz w:val="24"/>
        </w:rPr>
        <w:t xml:space="preserve">do participación </w:t>
      </w:r>
      <w:r w:rsidR="00B36DB7" w:rsidRPr="004C2B19">
        <w:rPr>
          <w:rFonts w:ascii="Times New Roman" w:hAnsi="Times New Roman" w:cs="Times New Roman"/>
          <w:sz w:val="24"/>
        </w:rPr>
        <w:t>en relación con</w:t>
      </w:r>
      <w:r w:rsidRPr="004C2B19">
        <w:rPr>
          <w:rFonts w:ascii="Times New Roman" w:hAnsi="Times New Roman" w:cs="Times New Roman"/>
          <w:sz w:val="24"/>
        </w:rPr>
        <w:t xml:space="preserve"> los créditos comercio y servicios.</w:t>
      </w:r>
    </w:p>
    <w:p w14:paraId="7F256B11" w14:textId="0608DB07" w:rsidR="002000B8" w:rsidRDefault="00311FBE" w:rsidP="00F21B4A">
      <w:pPr>
        <w:jc w:val="center"/>
      </w:pPr>
      <w:r>
        <w:rPr>
          <w:noProof/>
          <w:lang w:eastAsia="es-BO"/>
        </w:rPr>
        <w:drawing>
          <wp:inline distT="0" distB="0" distL="0" distR="0" wp14:anchorId="008833A3" wp14:editId="4EDC8490">
            <wp:extent cx="4584065" cy="2522220"/>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90935" cy="2526000"/>
                    </a:xfrm>
                    <a:prstGeom prst="rect">
                      <a:avLst/>
                    </a:prstGeom>
                    <a:noFill/>
                  </pic:spPr>
                </pic:pic>
              </a:graphicData>
            </a:graphic>
          </wp:inline>
        </w:drawing>
      </w:r>
    </w:p>
    <w:p w14:paraId="7F256B12" w14:textId="6190D8CF" w:rsidR="00476703" w:rsidRPr="004960AA" w:rsidRDefault="000969C0" w:rsidP="00476703">
      <w:pPr>
        <w:pStyle w:val="Prrafodelista"/>
        <w:ind w:left="1080"/>
        <w:rPr>
          <w:b/>
          <w:i/>
          <w:color w:val="AEAAAA" w:themeColor="background2" w:themeShade="BF"/>
          <w:sz w:val="20"/>
        </w:rPr>
      </w:pPr>
      <w:r>
        <w:rPr>
          <w:b/>
          <w:i/>
          <w:color w:val="AEAAAA" w:themeColor="background2" w:themeShade="BF"/>
          <w:sz w:val="20"/>
        </w:rPr>
        <w:t>GRAFICO 4</w:t>
      </w:r>
      <w:r w:rsidR="00490D48">
        <w:rPr>
          <w:b/>
          <w:i/>
          <w:color w:val="AEAAAA" w:themeColor="background2" w:themeShade="BF"/>
          <w:sz w:val="20"/>
        </w:rPr>
        <w:t xml:space="preserve">: </w:t>
      </w:r>
      <w:r w:rsidR="00F4108B">
        <w:rPr>
          <w:b/>
          <w:i/>
          <w:color w:val="AEAAAA" w:themeColor="background2" w:themeShade="BF"/>
          <w:sz w:val="20"/>
        </w:rPr>
        <w:t>Fuente:</w:t>
      </w:r>
      <w:r w:rsidR="004960AA" w:rsidRPr="004960AA">
        <w:rPr>
          <w:b/>
          <w:i/>
          <w:color w:val="AEAAAA" w:themeColor="background2" w:themeShade="BF"/>
          <w:sz w:val="20"/>
        </w:rPr>
        <w:t xml:space="preserve"> Informe de estabilidad financiera BCB</w:t>
      </w:r>
    </w:p>
    <w:p w14:paraId="7F256B13" w14:textId="77777777" w:rsidR="004960AA" w:rsidRPr="004960AA" w:rsidRDefault="004960AA" w:rsidP="00476703">
      <w:pPr>
        <w:pStyle w:val="Prrafodelista"/>
        <w:ind w:left="1080"/>
        <w:rPr>
          <w:b/>
          <w:i/>
          <w:sz w:val="20"/>
        </w:rPr>
      </w:pPr>
    </w:p>
    <w:p w14:paraId="7F256B14" w14:textId="77777777" w:rsidR="00F21B4A" w:rsidRPr="000969C0" w:rsidRDefault="004960AA"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Aunque este crecimiento acelerado, ocurre solo en parte con nuevas colocaciones a sectores productivos, ya que en parte este incremento es gracias a la disminución de la cartera en el sector servicio y en el sector comercio.</w:t>
      </w:r>
    </w:p>
    <w:p w14:paraId="7F256B15" w14:textId="77777777" w:rsidR="00F21B4A" w:rsidRDefault="00F21B4A" w:rsidP="00476703">
      <w:pPr>
        <w:pStyle w:val="Prrafodelista"/>
        <w:ind w:left="1080"/>
      </w:pPr>
    </w:p>
    <w:p w14:paraId="7F256B16" w14:textId="77777777" w:rsidR="00F21B4A" w:rsidRDefault="00EC4F8E" w:rsidP="00EC4F8E">
      <w:pPr>
        <w:pStyle w:val="Prrafodelista"/>
        <w:ind w:left="1080"/>
        <w:jc w:val="center"/>
      </w:pPr>
      <w:r>
        <w:rPr>
          <w:noProof/>
          <w:lang w:eastAsia="es-BO"/>
        </w:rPr>
        <w:drawing>
          <wp:inline distT="0" distB="0" distL="0" distR="0" wp14:anchorId="7F256B97" wp14:editId="33AC6F4D">
            <wp:extent cx="4584700" cy="2019300"/>
            <wp:effectExtent l="0" t="0" r="6350" b="0"/>
            <wp:docPr id="74097741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2">
                      <a:extLst>
                        <a:ext uri="{28A0092B-C50C-407E-A947-70E740481C1C}">
                          <a14:useLocalDpi xmlns:a14="http://schemas.microsoft.com/office/drawing/2010/main" val="0"/>
                        </a:ext>
                      </a:extLst>
                    </a:blip>
                    <a:stretch>
                      <a:fillRect/>
                    </a:stretch>
                  </pic:blipFill>
                  <pic:spPr>
                    <a:xfrm>
                      <a:off x="0" y="0"/>
                      <a:ext cx="4584702" cy="2019301"/>
                    </a:xfrm>
                    <a:prstGeom prst="rect">
                      <a:avLst/>
                    </a:prstGeom>
                  </pic:spPr>
                </pic:pic>
              </a:graphicData>
            </a:graphic>
          </wp:inline>
        </w:drawing>
      </w:r>
    </w:p>
    <w:p w14:paraId="7F256B17" w14:textId="31779337" w:rsidR="00F21B4A" w:rsidRDefault="00EC4F8E" w:rsidP="00476703">
      <w:pPr>
        <w:pStyle w:val="Prrafodelista"/>
        <w:ind w:left="1080"/>
        <w:rPr>
          <w:b/>
          <w:i/>
          <w:color w:val="AEAAAA" w:themeColor="background2" w:themeShade="BF"/>
          <w:sz w:val="20"/>
        </w:rPr>
      </w:pPr>
      <w:r>
        <w:rPr>
          <w:b/>
          <w:i/>
          <w:color w:val="AEAAAA" w:themeColor="background2" w:themeShade="BF"/>
          <w:sz w:val="20"/>
        </w:rPr>
        <w:t xml:space="preserve">   </w:t>
      </w:r>
      <w:r w:rsidR="00490D48">
        <w:rPr>
          <w:b/>
          <w:i/>
          <w:color w:val="AEAAAA" w:themeColor="background2" w:themeShade="BF"/>
          <w:sz w:val="20"/>
        </w:rPr>
        <w:t xml:space="preserve">GRAFICO </w:t>
      </w:r>
      <w:r w:rsidR="000969C0">
        <w:rPr>
          <w:b/>
          <w:i/>
          <w:color w:val="AEAAAA" w:themeColor="background2" w:themeShade="BF"/>
          <w:sz w:val="20"/>
        </w:rPr>
        <w:t>5</w:t>
      </w:r>
      <w:r w:rsidR="00490D48">
        <w:rPr>
          <w:b/>
          <w:i/>
          <w:color w:val="AEAAAA" w:themeColor="background2" w:themeShade="BF"/>
          <w:sz w:val="20"/>
        </w:rPr>
        <w:t xml:space="preserve">: </w:t>
      </w:r>
      <w:r w:rsidR="00F4108B">
        <w:rPr>
          <w:b/>
          <w:i/>
          <w:color w:val="AEAAAA" w:themeColor="background2" w:themeShade="BF"/>
          <w:sz w:val="20"/>
        </w:rPr>
        <w:t xml:space="preserve">Fuente: </w:t>
      </w:r>
      <w:r w:rsidR="004960AA" w:rsidRPr="004960AA">
        <w:rPr>
          <w:b/>
          <w:i/>
          <w:color w:val="AEAAAA" w:themeColor="background2" w:themeShade="BF"/>
          <w:sz w:val="20"/>
        </w:rPr>
        <w:t>Informe de estabilidad financiera BCB</w:t>
      </w:r>
      <w:r w:rsidR="007C0C99">
        <w:rPr>
          <w:b/>
          <w:i/>
          <w:color w:val="AEAAAA" w:themeColor="background2" w:themeShade="BF"/>
          <w:sz w:val="20"/>
        </w:rPr>
        <w:t>.</w:t>
      </w:r>
      <w:r w:rsidR="007C0C99" w:rsidRPr="007C0C99">
        <w:rPr>
          <w:b/>
          <w:i/>
          <w:color w:val="AEAAAA" w:themeColor="background2" w:themeShade="BF"/>
          <w:sz w:val="20"/>
        </w:rPr>
        <w:t xml:space="preserve"> </w:t>
      </w:r>
      <w:r w:rsidR="007C0C99">
        <w:rPr>
          <w:b/>
          <w:i/>
          <w:color w:val="AEAAAA" w:themeColor="background2" w:themeShade="BF"/>
          <w:sz w:val="20"/>
        </w:rPr>
        <w:t>(</w:t>
      </w:r>
      <w:r w:rsidR="007C0C99" w:rsidRPr="004960AA">
        <w:rPr>
          <w:b/>
          <w:i/>
          <w:color w:val="AEAAAA" w:themeColor="background2" w:themeShade="BF"/>
          <w:sz w:val="20"/>
        </w:rPr>
        <w:t>Elaboración propia</w:t>
      </w:r>
      <w:r w:rsidR="007C0C99">
        <w:rPr>
          <w:b/>
          <w:i/>
          <w:color w:val="AEAAAA" w:themeColor="background2" w:themeShade="BF"/>
          <w:sz w:val="20"/>
        </w:rPr>
        <w:t>).</w:t>
      </w:r>
    </w:p>
    <w:p w14:paraId="61C6E92E" w14:textId="77777777" w:rsidR="004C2B19" w:rsidRPr="004960AA" w:rsidRDefault="004C2B19" w:rsidP="00476703">
      <w:pPr>
        <w:pStyle w:val="Prrafodelista"/>
        <w:ind w:left="1080"/>
        <w:rPr>
          <w:b/>
          <w:i/>
        </w:rPr>
      </w:pPr>
    </w:p>
    <w:p w14:paraId="7F256B19" w14:textId="32C5072A" w:rsidR="00F21B4A" w:rsidRDefault="00175BCA"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Entre el 2014 y el 2015 hay un claro cambio de tendencia, antes de este periodo el se</w:t>
      </w:r>
      <w:r w:rsidR="007C0C99" w:rsidRPr="000969C0">
        <w:rPr>
          <w:rFonts w:ascii="Times New Roman" w:hAnsi="Times New Roman" w:cs="Times New Roman"/>
          <w:sz w:val="24"/>
        </w:rPr>
        <w:t xml:space="preserve">ctor de mayor crecimiento es </w:t>
      </w:r>
      <w:r w:rsidRPr="000969C0">
        <w:rPr>
          <w:rFonts w:ascii="Times New Roman" w:hAnsi="Times New Roman" w:cs="Times New Roman"/>
          <w:sz w:val="24"/>
        </w:rPr>
        <w:t xml:space="preserve">servicios que se desacelera el </w:t>
      </w:r>
      <w:r w:rsidR="002A756B" w:rsidRPr="000969C0">
        <w:rPr>
          <w:rFonts w:ascii="Times New Roman" w:hAnsi="Times New Roman" w:cs="Times New Roman"/>
          <w:sz w:val="24"/>
        </w:rPr>
        <w:t>2014 pasando</w:t>
      </w:r>
      <w:r w:rsidRPr="000969C0">
        <w:rPr>
          <w:rFonts w:ascii="Times New Roman" w:hAnsi="Times New Roman" w:cs="Times New Roman"/>
          <w:sz w:val="24"/>
        </w:rPr>
        <w:t xml:space="preserve"> del 23% al 7%, pero, el 2015 se achica en -11%, mientras que ocurre lo inverso con el crédito productivo </w:t>
      </w:r>
      <w:r w:rsidR="003A6F0B" w:rsidRPr="000969C0">
        <w:rPr>
          <w:rFonts w:ascii="Times New Roman" w:hAnsi="Times New Roman" w:cs="Times New Roman"/>
          <w:sz w:val="24"/>
        </w:rPr>
        <w:t>que aumenta</w:t>
      </w:r>
      <w:r w:rsidRPr="000969C0">
        <w:rPr>
          <w:rFonts w:ascii="Times New Roman" w:hAnsi="Times New Roman" w:cs="Times New Roman"/>
          <w:sz w:val="24"/>
        </w:rPr>
        <w:t xml:space="preserve"> su tasa de crecimiento en 10 puntos porcentuales del 15% al 25% del 2013 al 2014 y pasa a un crecimiento </w:t>
      </w:r>
      <w:r w:rsidR="002A756B" w:rsidRPr="000969C0">
        <w:rPr>
          <w:rFonts w:ascii="Times New Roman" w:hAnsi="Times New Roman" w:cs="Times New Roman"/>
          <w:sz w:val="24"/>
        </w:rPr>
        <w:t>récord</w:t>
      </w:r>
      <w:r w:rsidRPr="000969C0">
        <w:rPr>
          <w:rFonts w:ascii="Times New Roman" w:hAnsi="Times New Roman" w:cs="Times New Roman"/>
          <w:sz w:val="24"/>
        </w:rPr>
        <w:t xml:space="preserve"> y totalmente atípico el 2015 del 45%.</w:t>
      </w:r>
    </w:p>
    <w:p w14:paraId="7F256B1B" w14:textId="1C166404" w:rsidR="00175BCA" w:rsidRPr="000969C0" w:rsidRDefault="00175BCA"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 xml:space="preserve">Esto permite concluir que los Bancos resuelven parte del problema de cumplir con cupos de cartera productiva en gabinete y no en campo, es decir, </w:t>
      </w:r>
      <w:r w:rsidR="002A756B" w:rsidRPr="000969C0">
        <w:rPr>
          <w:rFonts w:ascii="Times New Roman" w:hAnsi="Times New Roman" w:cs="Times New Roman"/>
          <w:sz w:val="24"/>
        </w:rPr>
        <w:t>reclasificando</w:t>
      </w:r>
      <w:r w:rsidRPr="000969C0">
        <w:rPr>
          <w:rFonts w:ascii="Times New Roman" w:hAnsi="Times New Roman" w:cs="Times New Roman"/>
          <w:sz w:val="24"/>
        </w:rPr>
        <w:t xml:space="preserve"> en sus sistemas cartera de servicios a cartera productiva</w:t>
      </w:r>
      <w:r w:rsidR="005D231A" w:rsidRPr="000969C0">
        <w:rPr>
          <w:rFonts w:ascii="Times New Roman" w:hAnsi="Times New Roman" w:cs="Times New Roman"/>
          <w:sz w:val="24"/>
        </w:rPr>
        <w:t xml:space="preserve">, es esta la única manera de explicar tan abrupto cambio de tendencia en las tasas de crecimiento entre el 2013 y el 2015 el </w:t>
      </w:r>
      <w:r w:rsidR="003A6F0B" w:rsidRPr="000969C0">
        <w:rPr>
          <w:rFonts w:ascii="Times New Roman" w:hAnsi="Times New Roman" w:cs="Times New Roman"/>
          <w:sz w:val="24"/>
        </w:rPr>
        <w:t>sector servicios</w:t>
      </w:r>
      <w:r w:rsidR="005D231A" w:rsidRPr="000969C0">
        <w:rPr>
          <w:rFonts w:ascii="Times New Roman" w:hAnsi="Times New Roman" w:cs="Times New Roman"/>
          <w:sz w:val="24"/>
        </w:rPr>
        <w:t xml:space="preserve"> pierde </w:t>
      </w:r>
      <w:r w:rsidR="003A6F0B" w:rsidRPr="000969C0">
        <w:rPr>
          <w:rFonts w:ascii="Times New Roman" w:hAnsi="Times New Roman" w:cs="Times New Roman"/>
          <w:sz w:val="24"/>
        </w:rPr>
        <w:t>38 puntos</w:t>
      </w:r>
      <w:r w:rsidR="005D231A" w:rsidRPr="000969C0">
        <w:rPr>
          <w:rFonts w:ascii="Times New Roman" w:hAnsi="Times New Roman" w:cs="Times New Roman"/>
          <w:sz w:val="24"/>
        </w:rPr>
        <w:t xml:space="preserve"> porcentuales (de 17% a -11%) y el productivo </w:t>
      </w:r>
      <w:r w:rsidR="003A6F0B" w:rsidRPr="000969C0">
        <w:rPr>
          <w:rFonts w:ascii="Times New Roman" w:hAnsi="Times New Roman" w:cs="Times New Roman"/>
          <w:sz w:val="24"/>
        </w:rPr>
        <w:t>gana 30</w:t>
      </w:r>
      <w:r w:rsidR="005D231A" w:rsidRPr="000969C0">
        <w:rPr>
          <w:rFonts w:ascii="Times New Roman" w:hAnsi="Times New Roman" w:cs="Times New Roman"/>
          <w:sz w:val="24"/>
        </w:rPr>
        <w:t xml:space="preserve"> puntos porcentuales (de 15% a 45%).</w:t>
      </w:r>
    </w:p>
    <w:p w14:paraId="7F256B1C" w14:textId="77777777" w:rsidR="005D231A" w:rsidRPr="004C2B19" w:rsidRDefault="005D231A" w:rsidP="004C2B19">
      <w:pPr>
        <w:pStyle w:val="Prrafodelista"/>
        <w:spacing w:after="0" w:line="360" w:lineRule="auto"/>
        <w:ind w:left="1077"/>
        <w:jc w:val="both"/>
        <w:rPr>
          <w:rFonts w:ascii="Times New Roman" w:hAnsi="Times New Roman" w:cs="Times New Roman"/>
          <w:sz w:val="24"/>
        </w:rPr>
      </w:pPr>
    </w:p>
    <w:p w14:paraId="7F256B1D" w14:textId="63E9E075" w:rsidR="005D231A" w:rsidRPr="000969C0" w:rsidRDefault="007C0C99"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 xml:space="preserve">A </w:t>
      </w:r>
      <w:r w:rsidR="005D231A" w:rsidRPr="000969C0">
        <w:rPr>
          <w:rFonts w:ascii="Times New Roman" w:hAnsi="Times New Roman" w:cs="Times New Roman"/>
          <w:sz w:val="24"/>
        </w:rPr>
        <w:t>pesar de lo antes indicado</w:t>
      </w:r>
      <w:r w:rsidR="003E7976" w:rsidRPr="000969C0">
        <w:rPr>
          <w:rFonts w:ascii="Times New Roman" w:hAnsi="Times New Roman" w:cs="Times New Roman"/>
          <w:sz w:val="24"/>
        </w:rPr>
        <w:t xml:space="preserve"> si hay un efecto neto de incremento en el crecimiento de la cartera productiva, como resultado de los cupos de </w:t>
      </w:r>
      <w:r w:rsidR="003A6F0B" w:rsidRPr="000969C0">
        <w:rPr>
          <w:rFonts w:ascii="Times New Roman" w:hAnsi="Times New Roman" w:cs="Times New Roman"/>
          <w:sz w:val="24"/>
        </w:rPr>
        <w:t>cartera,</w:t>
      </w:r>
      <w:r w:rsidR="003E7976" w:rsidRPr="000969C0">
        <w:rPr>
          <w:rFonts w:ascii="Times New Roman" w:hAnsi="Times New Roman" w:cs="Times New Roman"/>
          <w:sz w:val="24"/>
        </w:rPr>
        <w:t xml:space="preserve"> aunque en un nivel ciertamente menor al que exponen los números, quizás es </w:t>
      </w:r>
      <w:r w:rsidR="00384D01" w:rsidRPr="000969C0">
        <w:rPr>
          <w:rFonts w:ascii="Times New Roman" w:hAnsi="Times New Roman" w:cs="Times New Roman"/>
          <w:sz w:val="24"/>
        </w:rPr>
        <w:t>más</w:t>
      </w:r>
      <w:r w:rsidR="003E7976" w:rsidRPr="000969C0">
        <w:rPr>
          <w:rFonts w:ascii="Times New Roman" w:hAnsi="Times New Roman" w:cs="Times New Roman"/>
          <w:sz w:val="24"/>
        </w:rPr>
        <w:t xml:space="preserve"> coherente pensar que el 22% de crecimiento del 2016 comparado al 13% de crecimiento de 2013 de la cartera productiva (un incremento neto de cartera de entre el 5% y el 7% por encima de la tendencia </w:t>
      </w:r>
      <w:r w:rsidR="003A6F0B" w:rsidRPr="000969C0">
        <w:rPr>
          <w:rFonts w:ascii="Times New Roman" w:hAnsi="Times New Roman" w:cs="Times New Roman"/>
          <w:sz w:val="24"/>
        </w:rPr>
        <w:t>normal) si</w:t>
      </w:r>
      <w:r w:rsidR="003E7976" w:rsidRPr="000969C0">
        <w:rPr>
          <w:rFonts w:ascii="Times New Roman" w:hAnsi="Times New Roman" w:cs="Times New Roman"/>
          <w:sz w:val="24"/>
        </w:rPr>
        <w:t xml:space="preserve"> pueden explicarse </w:t>
      </w:r>
      <w:r w:rsidR="003A6F0B" w:rsidRPr="000969C0">
        <w:rPr>
          <w:rFonts w:ascii="Times New Roman" w:hAnsi="Times New Roman" w:cs="Times New Roman"/>
          <w:sz w:val="24"/>
        </w:rPr>
        <w:t>por estas</w:t>
      </w:r>
      <w:r w:rsidR="003E7976" w:rsidRPr="000969C0">
        <w:rPr>
          <w:rFonts w:ascii="Times New Roman" w:hAnsi="Times New Roman" w:cs="Times New Roman"/>
          <w:sz w:val="24"/>
        </w:rPr>
        <w:t xml:space="preserve"> medidas</w:t>
      </w:r>
    </w:p>
    <w:p w14:paraId="7F256B1E" w14:textId="77777777" w:rsidR="00175BCA" w:rsidRPr="004C2B19" w:rsidRDefault="00175BCA" w:rsidP="004C2B19">
      <w:pPr>
        <w:pStyle w:val="Prrafodelista"/>
        <w:spacing w:after="0" w:line="360" w:lineRule="auto"/>
        <w:ind w:left="1077"/>
        <w:jc w:val="both"/>
        <w:rPr>
          <w:rFonts w:ascii="Times New Roman" w:hAnsi="Times New Roman" w:cs="Times New Roman"/>
          <w:sz w:val="24"/>
        </w:rPr>
      </w:pPr>
    </w:p>
    <w:p w14:paraId="7F256B1F" w14:textId="20DFD81A" w:rsidR="00175BCA" w:rsidRPr="000969C0" w:rsidRDefault="003E7976"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 xml:space="preserve">En el siguiente gráfico hacemos una interesante comparación entre el crecimiento en la cartera productiva de Los Bancos con el de las Instituciones financieras </w:t>
      </w:r>
      <w:r w:rsidR="003A6F0B" w:rsidRPr="000969C0">
        <w:rPr>
          <w:rFonts w:ascii="Times New Roman" w:hAnsi="Times New Roman" w:cs="Times New Roman"/>
          <w:sz w:val="24"/>
        </w:rPr>
        <w:t>de desarrollo</w:t>
      </w:r>
      <w:r w:rsidRPr="000969C0">
        <w:rPr>
          <w:rFonts w:ascii="Times New Roman" w:hAnsi="Times New Roman" w:cs="Times New Roman"/>
          <w:sz w:val="24"/>
        </w:rPr>
        <w:t xml:space="preserve"> </w:t>
      </w:r>
      <w:r w:rsidR="003A6F0B" w:rsidRPr="000969C0">
        <w:rPr>
          <w:rFonts w:ascii="Times New Roman" w:hAnsi="Times New Roman" w:cs="Times New Roman"/>
          <w:sz w:val="24"/>
        </w:rPr>
        <w:t>IFDs, como</w:t>
      </w:r>
      <w:r w:rsidR="00627DCD" w:rsidRPr="000969C0">
        <w:rPr>
          <w:rFonts w:ascii="Times New Roman" w:hAnsi="Times New Roman" w:cs="Times New Roman"/>
          <w:sz w:val="24"/>
        </w:rPr>
        <w:t xml:space="preserve"> se puede apreciar hay un abrupto cambio de tendencia</w:t>
      </w:r>
      <w:r w:rsidR="00384D01" w:rsidRPr="000969C0">
        <w:rPr>
          <w:rFonts w:ascii="Times New Roman" w:hAnsi="Times New Roman" w:cs="Times New Roman"/>
          <w:sz w:val="24"/>
        </w:rPr>
        <w:t>,</w:t>
      </w:r>
    </w:p>
    <w:p w14:paraId="7F256B20" w14:textId="77777777" w:rsidR="00F63380" w:rsidRPr="004C2B19" w:rsidRDefault="00F63380" w:rsidP="004C2B19">
      <w:pPr>
        <w:pStyle w:val="Prrafodelista"/>
        <w:spacing w:after="0" w:line="360" w:lineRule="auto"/>
        <w:ind w:left="1077"/>
        <w:jc w:val="both"/>
        <w:rPr>
          <w:rFonts w:ascii="Times New Roman" w:hAnsi="Times New Roman" w:cs="Times New Roman"/>
        </w:rPr>
      </w:pPr>
    </w:p>
    <w:p w14:paraId="7F256B21" w14:textId="77777777" w:rsidR="00F21B4A" w:rsidRDefault="00EC4F8E" w:rsidP="00EC4F8E">
      <w:pPr>
        <w:pStyle w:val="Prrafodelista"/>
        <w:ind w:left="1080"/>
        <w:jc w:val="center"/>
      </w:pPr>
      <w:r>
        <w:rPr>
          <w:noProof/>
          <w:lang w:eastAsia="es-BO"/>
        </w:rPr>
        <w:drawing>
          <wp:inline distT="0" distB="0" distL="0" distR="0" wp14:anchorId="7F256B99" wp14:editId="12B28E87">
            <wp:extent cx="4017645" cy="2621280"/>
            <wp:effectExtent l="0" t="0" r="1905" b="7620"/>
            <wp:docPr id="33330110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3">
                      <a:extLst>
                        <a:ext uri="{28A0092B-C50C-407E-A947-70E740481C1C}">
                          <a14:useLocalDpi xmlns:a14="http://schemas.microsoft.com/office/drawing/2010/main" val="0"/>
                        </a:ext>
                      </a:extLst>
                    </a:blip>
                    <a:stretch>
                      <a:fillRect/>
                    </a:stretch>
                  </pic:blipFill>
                  <pic:spPr>
                    <a:xfrm>
                      <a:off x="0" y="0"/>
                      <a:ext cx="4017645" cy="2621280"/>
                    </a:xfrm>
                    <a:prstGeom prst="rect">
                      <a:avLst/>
                    </a:prstGeom>
                  </pic:spPr>
                </pic:pic>
              </a:graphicData>
            </a:graphic>
          </wp:inline>
        </w:drawing>
      </w:r>
    </w:p>
    <w:p w14:paraId="7F256B22" w14:textId="4D9AC6AB" w:rsidR="00F63380" w:rsidRPr="00F63380" w:rsidRDefault="00EC4F8E" w:rsidP="00EC4F8E">
      <w:pPr>
        <w:pStyle w:val="Prrafodelista"/>
        <w:ind w:left="1080" w:firstLine="336"/>
        <w:rPr>
          <w:b/>
          <w:i/>
          <w:noProof/>
          <w:sz w:val="18"/>
          <w:lang w:eastAsia="es-BO"/>
        </w:rPr>
      </w:pPr>
      <w:r>
        <w:rPr>
          <w:b/>
          <w:i/>
          <w:noProof/>
          <w:sz w:val="18"/>
          <w:lang w:eastAsia="es-BO"/>
        </w:rPr>
        <w:t xml:space="preserve">    </w:t>
      </w:r>
      <w:r w:rsidR="000969C0">
        <w:rPr>
          <w:b/>
          <w:i/>
          <w:noProof/>
          <w:sz w:val="18"/>
          <w:lang w:eastAsia="es-BO"/>
        </w:rPr>
        <w:t>GRAFICO 6</w:t>
      </w:r>
      <w:r w:rsidR="00490D48">
        <w:rPr>
          <w:b/>
          <w:i/>
          <w:noProof/>
          <w:sz w:val="18"/>
          <w:lang w:eastAsia="es-BO"/>
        </w:rPr>
        <w:t xml:space="preserve">: </w:t>
      </w:r>
      <w:r>
        <w:rPr>
          <w:b/>
          <w:i/>
          <w:noProof/>
          <w:sz w:val="18"/>
          <w:lang w:eastAsia="es-BO"/>
        </w:rPr>
        <w:t xml:space="preserve"> </w:t>
      </w:r>
      <w:r w:rsidR="00F63380" w:rsidRPr="00862E8F">
        <w:rPr>
          <w:b/>
          <w:i/>
          <w:noProof/>
          <w:color w:val="A6A6A6" w:themeColor="background1" w:themeShade="A6"/>
          <w:sz w:val="18"/>
          <w:lang w:eastAsia="es-BO"/>
        </w:rPr>
        <w:t>Fuente ASFI y Finrural</w:t>
      </w:r>
      <w:r w:rsidR="007C0C99" w:rsidRPr="00862E8F">
        <w:rPr>
          <w:b/>
          <w:i/>
          <w:noProof/>
          <w:color w:val="A6A6A6" w:themeColor="background1" w:themeShade="A6"/>
          <w:sz w:val="18"/>
          <w:lang w:eastAsia="es-BO"/>
        </w:rPr>
        <w:t>.( Elaboración Propia)</w:t>
      </w:r>
    </w:p>
    <w:p w14:paraId="7F256B23" w14:textId="77777777" w:rsidR="00F21B4A" w:rsidRDefault="00F21B4A" w:rsidP="00476703">
      <w:pPr>
        <w:pStyle w:val="Prrafodelista"/>
        <w:ind w:left="1080"/>
      </w:pPr>
    </w:p>
    <w:p w14:paraId="7F256B24" w14:textId="77777777" w:rsidR="00627DCD" w:rsidRPr="000969C0" w:rsidRDefault="00627DCD"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antes de las medidas las IFDs crecían a tasas superiores al 40%, fundamentalmente con cartera productiva rural, periurbana, es decir, de pequeños préstamos a micro productores, con la llegada de la ley las IFDs  en parte por la presión de los bancos que ahora se interesan por algunos de los segmentos que atienden (los menos chicos) y en parte por propia política buscando el equilibrio financiero,  reduce</w:t>
      </w:r>
      <w:r w:rsidR="007C0C99" w:rsidRPr="000969C0">
        <w:rPr>
          <w:rFonts w:ascii="Times New Roman" w:hAnsi="Times New Roman" w:cs="Times New Roman"/>
          <w:sz w:val="24"/>
        </w:rPr>
        <w:t>n</w:t>
      </w:r>
      <w:r w:rsidRPr="000969C0">
        <w:rPr>
          <w:rFonts w:ascii="Times New Roman" w:hAnsi="Times New Roman" w:cs="Times New Roman"/>
          <w:sz w:val="24"/>
        </w:rPr>
        <w:t xml:space="preserve"> el crecimiento de los créditos productivos del 40% a tasas más cercanas a </w:t>
      </w:r>
      <w:r w:rsidR="00384D01" w:rsidRPr="000969C0">
        <w:rPr>
          <w:rFonts w:ascii="Times New Roman" w:hAnsi="Times New Roman" w:cs="Times New Roman"/>
          <w:sz w:val="24"/>
        </w:rPr>
        <w:t>0</w:t>
      </w:r>
      <w:r w:rsidRPr="000969C0">
        <w:rPr>
          <w:rFonts w:ascii="Times New Roman" w:hAnsi="Times New Roman" w:cs="Times New Roman"/>
          <w:sz w:val="24"/>
        </w:rPr>
        <w:t>% de entre el 4% y el 7%</w:t>
      </w:r>
      <w:r w:rsidR="00384D01" w:rsidRPr="000969C0">
        <w:rPr>
          <w:rFonts w:ascii="Times New Roman" w:hAnsi="Times New Roman" w:cs="Times New Roman"/>
          <w:sz w:val="24"/>
        </w:rPr>
        <w:t>, mie</w:t>
      </w:r>
      <w:r w:rsidR="007C0C99" w:rsidRPr="000969C0">
        <w:rPr>
          <w:rFonts w:ascii="Times New Roman" w:hAnsi="Times New Roman" w:cs="Times New Roman"/>
          <w:sz w:val="24"/>
        </w:rPr>
        <w:t>ntras, los bancos</w:t>
      </w:r>
      <w:r w:rsidR="00384D01" w:rsidRPr="000969C0">
        <w:rPr>
          <w:rFonts w:ascii="Times New Roman" w:hAnsi="Times New Roman" w:cs="Times New Roman"/>
          <w:sz w:val="24"/>
        </w:rPr>
        <w:t xml:space="preserve"> siguen el camino opuesto de tasas de crecimiento menor</w:t>
      </w:r>
      <w:r w:rsidR="007C0C99" w:rsidRPr="000969C0">
        <w:rPr>
          <w:rFonts w:ascii="Times New Roman" w:hAnsi="Times New Roman" w:cs="Times New Roman"/>
          <w:sz w:val="24"/>
        </w:rPr>
        <w:t>es</w:t>
      </w:r>
      <w:r w:rsidR="00384D01" w:rsidRPr="000969C0">
        <w:rPr>
          <w:rFonts w:ascii="Times New Roman" w:hAnsi="Times New Roman" w:cs="Times New Roman"/>
          <w:sz w:val="24"/>
        </w:rPr>
        <w:t xml:space="preserve"> al 20%, llegan al 45%  y alcanzan un crecimiento estable superior al 20%</w:t>
      </w:r>
      <w:r w:rsidR="007C0C99" w:rsidRPr="000969C0">
        <w:rPr>
          <w:rFonts w:ascii="Times New Roman" w:hAnsi="Times New Roman" w:cs="Times New Roman"/>
          <w:sz w:val="24"/>
        </w:rPr>
        <w:t xml:space="preserve"> el 2016 y 2017</w:t>
      </w:r>
      <w:r w:rsidR="00384D01" w:rsidRPr="000969C0">
        <w:rPr>
          <w:rFonts w:ascii="Times New Roman" w:hAnsi="Times New Roman" w:cs="Times New Roman"/>
          <w:sz w:val="24"/>
        </w:rPr>
        <w:t>.</w:t>
      </w:r>
    </w:p>
    <w:p w14:paraId="7F256B25" w14:textId="77777777" w:rsidR="00384D01" w:rsidRPr="000969C0" w:rsidRDefault="00384D01" w:rsidP="004C2B19">
      <w:pPr>
        <w:pStyle w:val="Prrafodelista"/>
        <w:spacing w:after="0" w:line="360" w:lineRule="auto"/>
        <w:ind w:left="1077"/>
        <w:jc w:val="both"/>
        <w:rPr>
          <w:rFonts w:ascii="Times New Roman" w:hAnsi="Times New Roman" w:cs="Times New Roman"/>
          <w:sz w:val="20"/>
        </w:rPr>
      </w:pPr>
    </w:p>
    <w:p w14:paraId="7F256B26" w14:textId="385B269F" w:rsidR="00384D01" w:rsidRPr="000969C0" w:rsidRDefault="00384D01" w:rsidP="000969C0">
      <w:pPr>
        <w:spacing w:after="0" w:line="360" w:lineRule="auto"/>
        <w:jc w:val="both"/>
        <w:rPr>
          <w:rFonts w:ascii="Times New Roman" w:hAnsi="Times New Roman" w:cs="Times New Roman"/>
          <w:sz w:val="24"/>
        </w:rPr>
      </w:pPr>
      <w:r w:rsidRPr="000969C0">
        <w:rPr>
          <w:rFonts w:ascii="Times New Roman" w:hAnsi="Times New Roman" w:cs="Times New Roman"/>
          <w:sz w:val="24"/>
        </w:rPr>
        <w:t xml:space="preserve">En </w:t>
      </w:r>
      <w:r w:rsidR="003A6F0B" w:rsidRPr="000969C0">
        <w:rPr>
          <w:rFonts w:ascii="Times New Roman" w:hAnsi="Times New Roman" w:cs="Times New Roman"/>
          <w:sz w:val="24"/>
        </w:rPr>
        <w:t>resumen,</w:t>
      </w:r>
      <w:r w:rsidRPr="000969C0">
        <w:rPr>
          <w:rFonts w:ascii="Times New Roman" w:hAnsi="Times New Roman" w:cs="Times New Roman"/>
          <w:sz w:val="24"/>
        </w:rPr>
        <w:t xml:space="preserve"> las medidas si logran incrementar la cartera productiva, aunque </w:t>
      </w:r>
      <w:r w:rsidR="003A6F0B" w:rsidRPr="000969C0">
        <w:rPr>
          <w:rFonts w:ascii="Times New Roman" w:hAnsi="Times New Roman" w:cs="Times New Roman"/>
          <w:sz w:val="24"/>
        </w:rPr>
        <w:t>nuevamente va</w:t>
      </w:r>
      <w:r w:rsidRPr="000969C0">
        <w:rPr>
          <w:rFonts w:ascii="Times New Roman" w:hAnsi="Times New Roman" w:cs="Times New Roman"/>
          <w:sz w:val="24"/>
        </w:rPr>
        <w:t xml:space="preserve"> en contra de los objetivos d</w:t>
      </w:r>
      <w:r w:rsidR="00F4108B" w:rsidRPr="000969C0">
        <w:rPr>
          <w:rFonts w:ascii="Times New Roman" w:hAnsi="Times New Roman" w:cs="Times New Roman"/>
          <w:sz w:val="24"/>
        </w:rPr>
        <w:t>e</w:t>
      </w:r>
      <w:r w:rsidRPr="000969C0">
        <w:rPr>
          <w:rFonts w:ascii="Times New Roman" w:hAnsi="Times New Roman" w:cs="Times New Roman"/>
          <w:sz w:val="24"/>
        </w:rPr>
        <w:t xml:space="preserve"> la ley de servicios </w:t>
      </w:r>
      <w:r w:rsidR="003A6F0B" w:rsidRPr="000969C0">
        <w:rPr>
          <w:rFonts w:ascii="Times New Roman" w:hAnsi="Times New Roman" w:cs="Times New Roman"/>
          <w:sz w:val="24"/>
        </w:rPr>
        <w:t>financieros de</w:t>
      </w:r>
      <w:r w:rsidRPr="000969C0">
        <w:rPr>
          <w:rFonts w:ascii="Times New Roman" w:hAnsi="Times New Roman" w:cs="Times New Roman"/>
          <w:sz w:val="24"/>
        </w:rPr>
        <w:t xml:space="preserve"> facilitar el acceso universal y asegurar la sostenibilidad, ya que las mismas ponen en riesgo de supervivencia a las IFDs y dejan sin alternativas de financiamiento a micro </w:t>
      </w:r>
      <w:r w:rsidR="003A6F0B" w:rsidRPr="000969C0">
        <w:rPr>
          <w:rFonts w:ascii="Times New Roman" w:hAnsi="Times New Roman" w:cs="Times New Roman"/>
          <w:sz w:val="24"/>
        </w:rPr>
        <w:t>productores que</w:t>
      </w:r>
      <w:r w:rsidRPr="000969C0">
        <w:rPr>
          <w:rFonts w:ascii="Times New Roman" w:hAnsi="Times New Roman" w:cs="Times New Roman"/>
          <w:sz w:val="24"/>
        </w:rPr>
        <w:t xml:space="preserve"> demandan pequeños </w:t>
      </w:r>
      <w:r w:rsidR="003A6F0B" w:rsidRPr="000969C0">
        <w:rPr>
          <w:rFonts w:ascii="Times New Roman" w:hAnsi="Times New Roman" w:cs="Times New Roman"/>
          <w:sz w:val="24"/>
        </w:rPr>
        <w:t>montos fundamentalmente</w:t>
      </w:r>
      <w:r w:rsidRPr="000969C0">
        <w:rPr>
          <w:rFonts w:ascii="Times New Roman" w:hAnsi="Times New Roman" w:cs="Times New Roman"/>
          <w:sz w:val="24"/>
        </w:rPr>
        <w:t xml:space="preserve"> en zonas rurales.</w:t>
      </w:r>
    </w:p>
    <w:p w14:paraId="7F256B27" w14:textId="77777777" w:rsidR="00627DCD" w:rsidRPr="004C2B19" w:rsidRDefault="00627DCD" w:rsidP="004C2B19">
      <w:pPr>
        <w:pStyle w:val="Prrafodelista"/>
        <w:spacing w:after="0" w:line="360" w:lineRule="auto"/>
        <w:ind w:left="1077"/>
        <w:rPr>
          <w:rFonts w:ascii="Times New Roman" w:hAnsi="Times New Roman" w:cs="Times New Roman"/>
          <w:sz w:val="24"/>
        </w:rPr>
      </w:pPr>
    </w:p>
    <w:p w14:paraId="7F256B2A" w14:textId="77777777" w:rsidR="00EA436E" w:rsidRPr="004C2B19" w:rsidRDefault="00EA436E" w:rsidP="004C2B19">
      <w:pPr>
        <w:pStyle w:val="Prrafodelista"/>
        <w:numPr>
          <w:ilvl w:val="1"/>
          <w:numId w:val="8"/>
        </w:numPr>
        <w:spacing w:after="0" w:line="360" w:lineRule="auto"/>
        <w:ind w:left="1077"/>
        <w:rPr>
          <w:rFonts w:ascii="Times New Roman" w:hAnsi="Times New Roman" w:cs="Times New Roman"/>
          <w:b/>
          <w:sz w:val="24"/>
        </w:rPr>
      </w:pPr>
      <w:r w:rsidRPr="004C2B19">
        <w:rPr>
          <w:rFonts w:ascii="Times New Roman" w:hAnsi="Times New Roman" w:cs="Times New Roman"/>
          <w:b/>
          <w:sz w:val="24"/>
        </w:rPr>
        <w:t>Cartera de créditos de vivienda</w:t>
      </w:r>
      <w:r w:rsidR="00E2131F" w:rsidRPr="004C2B19">
        <w:rPr>
          <w:rFonts w:ascii="Times New Roman" w:hAnsi="Times New Roman" w:cs="Times New Roman"/>
          <w:b/>
          <w:sz w:val="24"/>
        </w:rPr>
        <w:t xml:space="preserve"> y vivienda social</w:t>
      </w:r>
    </w:p>
    <w:p w14:paraId="7F256B2B" w14:textId="77777777" w:rsidR="00476703" w:rsidRPr="000969C0" w:rsidRDefault="00476703" w:rsidP="004C2B19">
      <w:pPr>
        <w:pStyle w:val="Prrafodelista"/>
        <w:spacing w:after="0" w:line="360" w:lineRule="auto"/>
        <w:ind w:left="1077"/>
        <w:rPr>
          <w:rFonts w:ascii="Times New Roman" w:hAnsi="Times New Roman" w:cs="Times New Roman"/>
          <w:sz w:val="20"/>
        </w:rPr>
      </w:pPr>
    </w:p>
    <w:p w14:paraId="7F256B2C" w14:textId="77777777" w:rsidR="00F21B4A" w:rsidRPr="000969C0" w:rsidRDefault="005F49D6" w:rsidP="000969C0">
      <w:pPr>
        <w:spacing w:after="0" w:line="360" w:lineRule="auto"/>
        <w:jc w:val="both"/>
        <w:rPr>
          <w:rFonts w:ascii="Times New Roman" w:hAnsi="Times New Roman" w:cs="Times New Roman"/>
          <w:noProof/>
          <w:sz w:val="24"/>
          <w:lang w:eastAsia="es-BO"/>
        </w:rPr>
      </w:pPr>
      <w:r w:rsidRPr="000969C0">
        <w:rPr>
          <w:rFonts w:ascii="Times New Roman" w:hAnsi="Times New Roman" w:cs="Times New Roman"/>
          <w:noProof/>
          <w:sz w:val="24"/>
          <w:lang w:eastAsia="es-BO"/>
        </w:rPr>
        <w:t>Para la cartera de vivienda hay un efecto casi inmediato el 2014</w:t>
      </w:r>
      <w:r w:rsidR="008E6CAE" w:rsidRPr="000969C0">
        <w:rPr>
          <w:rFonts w:ascii="Times New Roman" w:hAnsi="Times New Roman" w:cs="Times New Roman"/>
          <w:noProof/>
          <w:sz w:val="24"/>
          <w:lang w:eastAsia="es-BO"/>
        </w:rPr>
        <w:t xml:space="preserve"> a pesar de que el decreto es promulgado en dicembre 2013</w:t>
      </w:r>
      <w:r w:rsidRPr="000969C0">
        <w:rPr>
          <w:rFonts w:ascii="Times New Roman" w:hAnsi="Times New Roman" w:cs="Times New Roman"/>
          <w:noProof/>
          <w:sz w:val="24"/>
          <w:lang w:eastAsia="es-BO"/>
        </w:rPr>
        <w:t>, pues los bancos se ven obligados a ajustar las tasas (bajarlas y convertirlas en fijas)  de los créditos que ya tenían de vivienda (lo llamamos vivienda tradicional solo con fines de este análisis) y que caen dentro del rango de monto de créditos de vivienda social según el decreto.</w:t>
      </w:r>
    </w:p>
    <w:p w14:paraId="7F256B2E" w14:textId="77777777" w:rsidR="00F21B4A" w:rsidRDefault="00EC4F8E" w:rsidP="00EC4F8E">
      <w:pPr>
        <w:pStyle w:val="Prrafodelista"/>
        <w:ind w:left="1080"/>
        <w:jc w:val="center"/>
      </w:pPr>
      <w:r>
        <w:rPr>
          <w:noProof/>
          <w:lang w:eastAsia="es-BO"/>
        </w:rPr>
        <w:drawing>
          <wp:inline distT="0" distB="0" distL="0" distR="0" wp14:anchorId="7F256B9B" wp14:editId="60754C2C">
            <wp:extent cx="4743450" cy="2072640"/>
            <wp:effectExtent l="0" t="0" r="0" b="3810"/>
            <wp:docPr id="168338381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4">
                      <a:extLst>
                        <a:ext uri="{28A0092B-C50C-407E-A947-70E740481C1C}">
                          <a14:useLocalDpi xmlns:a14="http://schemas.microsoft.com/office/drawing/2010/main" val="0"/>
                        </a:ext>
                      </a:extLst>
                    </a:blip>
                    <a:stretch>
                      <a:fillRect/>
                    </a:stretch>
                  </pic:blipFill>
                  <pic:spPr>
                    <a:xfrm>
                      <a:off x="0" y="0"/>
                      <a:ext cx="4753337" cy="2076960"/>
                    </a:xfrm>
                    <a:prstGeom prst="rect">
                      <a:avLst/>
                    </a:prstGeom>
                  </pic:spPr>
                </pic:pic>
              </a:graphicData>
            </a:graphic>
          </wp:inline>
        </w:drawing>
      </w:r>
    </w:p>
    <w:p w14:paraId="7F256B2F" w14:textId="404B3358" w:rsidR="005F49D6" w:rsidRPr="00F63380" w:rsidRDefault="001E7DB8" w:rsidP="005F49D6">
      <w:pPr>
        <w:pStyle w:val="Prrafodelista"/>
        <w:ind w:left="1080"/>
        <w:rPr>
          <w:b/>
          <w:i/>
          <w:noProof/>
          <w:sz w:val="18"/>
          <w:lang w:eastAsia="es-BO"/>
        </w:rPr>
      </w:pPr>
      <w:r>
        <w:rPr>
          <w:b/>
          <w:i/>
          <w:noProof/>
          <w:sz w:val="18"/>
          <w:lang w:eastAsia="es-BO"/>
        </w:rPr>
        <w:t>GRAFICO 7</w:t>
      </w:r>
      <w:r w:rsidR="00490D48">
        <w:rPr>
          <w:b/>
          <w:i/>
          <w:noProof/>
          <w:sz w:val="18"/>
          <w:lang w:eastAsia="es-BO"/>
        </w:rPr>
        <w:t xml:space="preserve">: </w:t>
      </w:r>
      <w:r w:rsidR="00EC4F8E">
        <w:rPr>
          <w:b/>
          <w:i/>
          <w:noProof/>
          <w:sz w:val="18"/>
          <w:lang w:eastAsia="es-BO"/>
        </w:rPr>
        <w:t xml:space="preserve">  </w:t>
      </w:r>
      <w:r w:rsidR="00F63380" w:rsidRPr="00862E8F">
        <w:rPr>
          <w:b/>
          <w:i/>
          <w:noProof/>
          <w:color w:val="A6A6A6" w:themeColor="background1" w:themeShade="A6"/>
          <w:sz w:val="18"/>
          <w:lang w:eastAsia="es-BO"/>
        </w:rPr>
        <w:t>Fuente ASFI y Finrural</w:t>
      </w:r>
      <w:r w:rsidR="008E6CAE" w:rsidRPr="00862E8F">
        <w:rPr>
          <w:b/>
          <w:i/>
          <w:noProof/>
          <w:color w:val="A6A6A6" w:themeColor="background1" w:themeShade="A6"/>
          <w:sz w:val="18"/>
          <w:lang w:eastAsia="es-BO"/>
        </w:rPr>
        <w:t xml:space="preserve">. </w:t>
      </w:r>
      <w:r w:rsidR="00862E8F" w:rsidRPr="00862E8F">
        <w:rPr>
          <w:b/>
          <w:i/>
          <w:noProof/>
          <w:color w:val="A6A6A6" w:themeColor="background1" w:themeShade="A6"/>
          <w:sz w:val="18"/>
          <w:lang w:eastAsia="es-BO"/>
        </w:rPr>
        <w:t>(</w:t>
      </w:r>
      <w:r w:rsidR="008E6CAE" w:rsidRPr="00862E8F">
        <w:rPr>
          <w:b/>
          <w:i/>
          <w:noProof/>
          <w:color w:val="A6A6A6" w:themeColor="background1" w:themeShade="A6"/>
          <w:sz w:val="18"/>
          <w:lang w:eastAsia="es-BO"/>
        </w:rPr>
        <w:t>Elaboración Propia</w:t>
      </w:r>
      <w:r w:rsidR="00862E8F" w:rsidRPr="00862E8F">
        <w:rPr>
          <w:b/>
          <w:i/>
          <w:noProof/>
          <w:color w:val="A6A6A6" w:themeColor="background1" w:themeShade="A6"/>
          <w:sz w:val="18"/>
          <w:lang w:eastAsia="es-BO"/>
        </w:rPr>
        <w:t>)</w:t>
      </w:r>
    </w:p>
    <w:p w14:paraId="7F256B30" w14:textId="77777777" w:rsidR="00F63380" w:rsidRDefault="00F63380" w:rsidP="005F49D6">
      <w:pPr>
        <w:pStyle w:val="Prrafodelista"/>
        <w:ind w:left="1080"/>
        <w:jc w:val="both"/>
        <w:rPr>
          <w:noProof/>
          <w:sz w:val="24"/>
          <w:lang w:eastAsia="es-BO"/>
        </w:rPr>
      </w:pPr>
    </w:p>
    <w:p w14:paraId="7F256B31" w14:textId="77777777" w:rsidR="005F49D6" w:rsidRPr="000969C0" w:rsidRDefault="005F49D6" w:rsidP="000969C0">
      <w:pPr>
        <w:spacing w:after="0" w:line="360" w:lineRule="auto"/>
        <w:jc w:val="both"/>
        <w:rPr>
          <w:rFonts w:ascii="Times New Roman" w:hAnsi="Times New Roman" w:cs="Times New Roman"/>
          <w:noProof/>
          <w:sz w:val="24"/>
          <w:lang w:eastAsia="es-BO"/>
        </w:rPr>
      </w:pPr>
      <w:r w:rsidRPr="000969C0">
        <w:rPr>
          <w:rFonts w:ascii="Times New Roman" w:hAnsi="Times New Roman" w:cs="Times New Roman"/>
          <w:noProof/>
          <w:sz w:val="24"/>
          <w:lang w:eastAsia="es-BO"/>
        </w:rPr>
        <w:t>Es posible evidenciar que hay un incremento neto de casi 3 puntos porcentuales de las tasas de crecimiento anual antes y despes de las medidas en e</w:t>
      </w:r>
      <w:r w:rsidR="008E6CAE" w:rsidRPr="000969C0">
        <w:rPr>
          <w:rFonts w:ascii="Times New Roman" w:hAnsi="Times New Roman" w:cs="Times New Roman"/>
          <w:noProof/>
          <w:sz w:val="24"/>
          <w:lang w:eastAsia="es-BO"/>
        </w:rPr>
        <w:t>l crédito de vivienda consolida</w:t>
      </w:r>
      <w:r w:rsidRPr="000969C0">
        <w:rPr>
          <w:rFonts w:ascii="Times New Roman" w:hAnsi="Times New Roman" w:cs="Times New Roman"/>
          <w:noProof/>
          <w:sz w:val="24"/>
          <w:lang w:eastAsia="es-BO"/>
        </w:rPr>
        <w:t>do (vivienda tradicional + vivienda social), por lo que podemos considerar que son efectivas las medidas para incrementar la cartera de créditos de vivienda, aunque el 2017 la tasa de crecimiento del 19% ya se muestra ligeramente por debajo del promedio  de 20,5% que habia antes de la regulación de la tasa.</w:t>
      </w:r>
    </w:p>
    <w:p w14:paraId="7F256B32" w14:textId="77777777" w:rsidR="005F49D6" w:rsidRPr="004C2B19" w:rsidRDefault="005F49D6" w:rsidP="004C2B19">
      <w:pPr>
        <w:pStyle w:val="Prrafodelista"/>
        <w:spacing w:after="0" w:line="360" w:lineRule="auto"/>
        <w:ind w:left="1080"/>
        <w:jc w:val="both"/>
        <w:rPr>
          <w:rFonts w:ascii="Times New Roman" w:hAnsi="Times New Roman" w:cs="Times New Roman"/>
          <w:noProof/>
          <w:sz w:val="24"/>
          <w:lang w:eastAsia="es-BO"/>
        </w:rPr>
      </w:pPr>
    </w:p>
    <w:p w14:paraId="7F256B33" w14:textId="77777777" w:rsidR="005F49D6" w:rsidRPr="000969C0" w:rsidRDefault="00D66097" w:rsidP="000969C0">
      <w:pPr>
        <w:spacing w:after="0" w:line="360" w:lineRule="auto"/>
        <w:jc w:val="both"/>
        <w:rPr>
          <w:rFonts w:ascii="Times New Roman" w:hAnsi="Times New Roman" w:cs="Times New Roman"/>
          <w:sz w:val="24"/>
        </w:rPr>
      </w:pPr>
      <w:r w:rsidRPr="000969C0">
        <w:rPr>
          <w:rFonts w:ascii="Times New Roman" w:hAnsi="Times New Roman" w:cs="Times New Roman"/>
          <w:noProof/>
          <w:sz w:val="24"/>
          <w:lang w:eastAsia="es-BO"/>
        </w:rPr>
        <w:t xml:space="preserve">Esto puede deberse a que los bancos que ya estan cumpliendo  o estan cerca de cumplir los cupos de cartera (vivienda social+crédito productivo=60%), estan desacelerando la colocación de vivienda social, fundamentalmente en el rango de operaciones menores a 250.000 UFVs que deben prestar al 5.5% a tasa fija), ya que en etos el spreed seguramente se aproxima a 0% </w:t>
      </w:r>
      <w:r w:rsidR="008E6CAE" w:rsidRPr="000969C0">
        <w:rPr>
          <w:rFonts w:ascii="Times New Roman" w:hAnsi="Times New Roman" w:cs="Times New Roman"/>
          <w:noProof/>
          <w:sz w:val="24"/>
          <w:lang w:eastAsia="es-BO"/>
        </w:rPr>
        <w:t>y conllevan un gran riesgo de</w:t>
      </w:r>
      <w:r w:rsidRPr="000969C0">
        <w:rPr>
          <w:rFonts w:ascii="Times New Roman" w:hAnsi="Times New Roman" w:cs="Times New Roman"/>
          <w:noProof/>
          <w:sz w:val="24"/>
          <w:lang w:eastAsia="es-BO"/>
        </w:rPr>
        <w:t xml:space="preserve"> mercado al otorgarse con tasa fija y plazo largo.  Además inversiones tem</w:t>
      </w:r>
      <w:r w:rsidR="00CE7E53" w:rsidRPr="000969C0">
        <w:rPr>
          <w:rFonts w:ascii="Times New Roman" w:hAnsi="Times New Roman" w:cs="Times New Roman"/>
          <w:noProof/>
          <w:sz w:val="24"/>
          <w:lang w:eastAsia="es-BO"/>
        </w:rPr>
        <w:t>p</w:t>
      </w:r>
      <w:r w:rsidRPr="000969C0">
        <w:rPr>
          <w:rFonts w:ascii="Times New Roman" w:hAnsi="Times New Roman" w:cs="Times New Roman"/>
          <w:noProof/>
          <w:sz w:val="24"/>
          <w:lang w:eastAsia="es-BO"/>
        </w:rPr>
        <w:t xml:space="preserve">orarias de 5% o mas pueden resultar mucho más atractivas para </w:t>
      </w:r>
      <w:r w:rsidR="00CE7E53" w:rsidRPr="000969C0">
        <w:rPr>
          <w:rFonts w:ascii="Times New Roman" w:hAnsi="Times New Roman" w:cs="Times New Roman"/>
          <w:noProof/>
          <w:sz w:val="24"/>
          <w:lang w:eastAsia="es-BO"/>
        </w:rPr>
        <w:t>los banc</w:t>
      </w:r>
      <w:r w:rsidRPr="000969C0">
        <w:rPr>
          <w:rFonts w:ascii="Times New Roman" w:hAnsi="Times New Roman" w:cs="Times New Roman"/>
          <w:noProof/>
          <w:sz w:val="24"/>
          <w:lang w:eastAsia="es-BO"/>
        </w:rPr>
        <w:t>os que esta</w:t>
      </w:r>
      <w:r w:rsidR="008E6CAE" w:rsidRPr="000969C0">
        <w:rPr>
          <w:rFonts w:ascii="Times New Roman" w:hAnsi="Times New Roman" w:cs="Times New Roman"/>
          <w:noProof/>
          <w:sz w:val="24"/>
          <w:lang w:eastAsia="es-BO"/>
        </w:rPr>
        <w:t>s</w:t>
      </w:r>
      <w:r w:rsidRPr="000969C0">
        <w:rPr>
          <w:rFonts w:ascii="Times New Roman" w:hAnsi="Times New Roman" w:cs="Times New Roman"/>
          <w:noProof/>
          <w:sz w:val="24"/>
          <w:lang w:eastAsia="es-BO"/>
        </w:rPr>
        <w:t xml:space="preserve"> operaciones.</w:t>
      </w:r>
    </w:p>
    <w:p w14:paraId="7F256B34" w14:textId="77777777" w:rsidR="00F21B4A" w:rsidRPr="004C2B19" w:rsidRDefault="00F21B4A" w:rsidP="004C2B19">
      <w:pPr>
        <w:pStyle w:val="Prrafodelista"/>
        <w:spacing w:after="0" w:line="360" w:lineRule="auto"/>
        <w:ind w:left="1080"/>
        <w:rPr>
          <w:rFonts w:ascii="Times New Roman" w:hAnsi="Times New Roman" w:cs="Times New Roman"/>
          <w:sz w:val="24"/>
        </w:rPr>
      </w:pPr>
    </w:p>
    <w:p w14:paraId="7F256B35" w14:textId="77777777" w:rsidR="00AB6EAC" w:rsidRPr="004C2B19" w:rsidRDefault="00AB6EAC" w:rsidP="004C2B19">
      <w:pPr>
        <w:pStyle w:val="Prrafodelista"/>
        <w:numPr>
          <w:ilvl w:val="1"/>
          <w:numId w:val="8"/>
        </w:numPr>
        <w:spacing w:after="0" w:line="360" w:lineRule="auto"/>
        <w:rPr>
          <w:rFonts w:ascii="Times New Roman" w:hAnsi="Times New Roman" w:cs="Times New Roman"/>
          <w:b/>
          <w:sz w:val="24"/>
        </w:rPr>
      </w:pPr>
      <w:r w:rsidRPr="004C2B19">
        <w:rPr>
          <w:rFonts w:ascii="Times New Roman" w:hAnsi="Times New Roman" w:cs="Times New Roman"/>
          <w:b/>
          <w:sz w:val="24"/>
        </w:rPr>
        <w:t>Número de prestatarios</w:t>
      </w:r>
    </w:p>
    <w:p w14:paraId="7F256B36" w14:textId="77777777" w:rsidR="00476703" w:rsidRPr="004C2B19" w:rsidRDefault="000E6AEF"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Una de las variables más notoriamente desfavorables desde la implementación de </w:t>
      </w:r>
      <w:r w:rsidR="00B04291" w:rsidRPr="004C2B19">
        <w:rPr>
          <w:rFonts w:ascii="Times New Roman" w:hAnsi="Times New Roman" w:cs="Times New Roman"/>
          <w:sz w:val="24"/>
        </w:rPr>
        <w:t xml:space="preserve">la regulación de tasas </w:t>
      </w:r>
      <w:r w:rsidRPr="004C2B19">
        <w:rPr>
          <w:rFonts w:ascii="Times New Roman" w:hAnsi="Times New Roman" w:cs="Times New Roman"/>
          <w:sz w:val="24"/>
        </w:rPr>
        <w:t>es la de número de prestatarios, ya que la cantidad de prestatarios aumentan de manera impo</w:t>
      </w:r>
      <w:r w:rsidR="00B04291" w:rsidRPr="004C2B19">
        <w:rPr>
          <w:rFonts w:ascii="Times New Roman" w:hAnsi="Times New Roman" w:cs="Times New Roman"/>
          <w:sz w:val="24"/>
        </w:rPr>
        <w:t>rtante</w:t>
      </w:r>
      <w:r w:rsidRPr="004C2B19">
        <w:rPr>
          <w:rFonts w:ascii="Times New Roman" w:hAnsi="Times New Roman" w:cs="Times New Roman"/>
          <w:sz w:val="24"/>
        </w:rPr>
        <w:t xml:space="preserve"> antes de las medidas, pero, se reduce significativamente después de las medidas, llegando inclusive a disminuir el 2014 y 2015 la cantidad de prestatarios en el sistema.</w:t>
      </w:r>
    </w:p>
    <w:p w14:paraId="7F256B37" w14:textId="77777777" w:rsidR="00F21B4A" w:rsidRDefault="00EC4F8E" w:rsidP="00EC4F8E">
      <w:pPr>
        <w:jc w:val="center"/>
      </w:pPr>
      <w:r>
        <w:rPr>
          <w:noProof/>
          <w:lang w:eastAsia="es-BO"/>
        </w:rPr>
        <w:drawing>
          <wp:inline distT="0" distB="0" distL="0" distR="0" wp14:anchorId="7F256B9D" wp14:editId="450BF787">
            <wp:extent cx="4584700" cy="2337955"/>
            <wp:effectExtent l="0" t="0" r="6350" b="5715"/>
            <wp:docPr id="145661184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5">
                      <a:extLst>
                        <a:ext uri="{28A0092B-C50C-407E-A947-70E740481C1C}">
                          <a14:useLocalDpi xmlns:a14="http://schemas.microsoft.com/office/drawing/2010/main" val="0"/>
                        </a:ext>
                      </a:extLst>
                    </a:blip>
                    <a:stretch>
                      <a:fillRect/>
                    </a:stretch>
                  </pic:blipFill>
                  <pic:spPr>
                    <a:xfrm>
                      <a:off x="0" y="0"/>
                      <a:ext cx="4588823" cy="2340057"/>
                    </a:xfrm>
                    <a:prstGeom prst="rect">
                      <a:avLst/>
                    </a:prstGeom>
                  </pic:spPr>
                </pic:pic>
              </a:graphicData>
            </a:graphic>
          </wp:inline>
        </w:drawing>
      </w:r>
    </w:p>
    <w:p w14:paraId="7F256B38" w14:textId="29A4983B" w:rsidR="00EA436E" w:rsidRDefault="001E7DB8" w:rsidP="00862E8F">
      <w:pPr>
        <w:ind w:firstLine="708"/>
      </w:pPr>
      <w:r>
        <w:rPr>
          <w:b/>
          <w:i/>
          <w:color w:val="A6A6A6" w:themeColor="background1" w:themeShade="A6"/>
          <w:sz w:val="20"/>
        </w:rPr>
        <w:t>GRAFICO 8</w:t>
      </w:r>
      <w:r w:rsidR="00490D48">
        <w:rPr>
          <w:b/>
          <w:i/>
          <w:color w:val="A6A6A6" w:themeColor="background1" w:themeShade="A6"/>
          <w:sz w:val="20"/>
        </w:rPr>
        <w:t xml:space="preserve">: </w:t>
      </w:r>
      <w:r w:rsidR="00862E8F" w:rsidRPr="00862E8F">
        <w:rPr>
          <w:b/>
          <w:i/>
          <w:color w:val="A6A6A6" w:themeColor="background1" w:themeShade="A6"/>
          <w:sz w:val="20"/>
        </w:rPr>
        <w:t>Fuente: Asfi y Finrural. (Elaboración propia)</w:t>
      </w:r>
    </w:p>
    <w:p w14:paraId="7F256B39" w14:textId="49227EF3" w:rsidR="000E6AEF" w:rsidRDefault="000E6AEF" w:rsidP="004C2B19">
      <w:pPr>
        <w:spacing w:after="0" w:line="360" w:lineRule="auto"/>
        <w:rPr>
          <w:rFonts w:ascii="Times New Roman" w:hAnsi="Times New Roman" w:cs="Times New Roman"/>
          <w:sz w:val="24"/>
        </w:rPr>
      </w:pPr>
      <w:r w:rsidRPr="004C2B19">
        <w:rPr>
          <w:rFonts w:ascii="Times New Roman" w:hAnsi="Times New Roman" w:cs="Times New Roman"/>
          <w:sz w:val="24"/>
        </w:rPr>
        <w:t>Este es un aspecto preocupante</w:t>
      </w:r>
      <w:r w:rsidR="00B04291" w:rsidRPr="004C2B19">
        <w:rPr>
          <w:rFonts w:ascii="Times New Roman" w:hAnsi="Times New Roman" w:cs="Times New Roman"/>
          <w:sz w:val="24"/>
        </w:rPr>
        <w:t xml:space="preserve"> dado que es objetivo de la nueva ley de servicios financiero facilitar el acceso universal. </w:t>
      </w:r>
    </w:p>
    <w:p w14:paraId="6DB37FEA" w14:textId="77777777" w:rsidR="000969C0" w:rsidRDefault="000969C0" w:rsidP="004C2B19">
      <w:pPr>
        <w:spacing w:after="0" w:line="360" w:lineRule="auto"/>
        <w:rPr>
          <w:rFonts w:ascii="Times New Roman" w:hAnsi="Times New Roman" w:cs="Times New Roman"/>
          <w:sz w:val="24"/>
        </w:rPr>
      </w:pPr>
    </w:p>
    <w:p w14:paraId="1A3F18F0" w14:textId="77777777" w:rsidR="000969C0" w:rsidRDefault="000969C0" w:rsidP="004C2B19">
      <w:pPr>
        <w:spacing w:after="0" w:line="360" w:lineRule="auto"/>
        <w:rPr>
          <w:rFonts w:ascii="Times New Roman" w:hAnsi="Times New Roman" w:cs="Times New Roman"/>
          <w:sz w:val="24"/>
        </w:rPr>
      </w:pPr>
    </w:p>
    <w:p w14:paraId="01AC7C71" w14:textId="77777777" w:rsidR="000969C0" w:rsidRDefault="000969C0" w:rsidP="004C2B19">
      <w:pPr>
        <w:spacing w:after="0" w:line="360" w:lineRule="auto"/>
        <w:rPr>
          <w:rFonts w:ascii="Times New Roman" w:hAnsi="Times New Roman" w:cs="Times New Roman"/>
          <w:sz w:val="24"/>
        </w:rPr>
      </w:pPr>
    </w:p>
    <w:p w14:paraId="512EB8F1" w14:textId="77777777" w:rsidR="000969C0" w:rsidRDefault="000969C0" w:rsidP="004C2B19">
      <w:pPr>
        <w:spacing w:after="0" w:line="360" w:lineRule="auto"/>
        <w:rPr>
          <w:rFonts w:ascii="Times New Roman" w:hAnsi="Times New Roman" w:cs="Times New Roman"/>
          <w:sz w:val="24"/>
        </w:rPr>
      </w:pPr>
    </w:p>
    <w:p w14:paraId="0879D0BF" w14:textId="77777777" w:rsidR="000969C0" w:rsidRPr="004C2B19" w:rsidRDefault="000969C0" w:rsidP="004C2B19">
      <w:pPr>
        <w:spacing w:after="0" w:line="360" w:lineRule="auto"/>
        <w:rPr>
          <w:rFonts w:ascii="Times New Roman" w:hAnsi="Times New Roman" w:cs="Times New Roman"/>
          <w:sz w:val="24"/>
        </w:rPr>
      </w:pPr>
    </w:p>
    <w:p w14:paraId="7F256B3B" w14:textId="77777777" w:rsidR="00EA436E" w:rsidRPr="004C2B19" w:rsidRDefault="00EA436E" w:rsidP="00773FF1">
      <w:pPr>
        <w:pStyle w:val="Prrafodelista"/>
        <w:numPr>
          <w:ilvl w:val="1"/>
          <w:numId w:val="8"/>
        </w:numPr>
        <w:rPr>
          <w:rFonts w:ascii="Times New Roman" w:hAnsi="Times New Roman" w:cs="Times New Roman"/>
          <w:b/>
          <w:sz w:val="24"/>
        </w:rPr>
      </w:pPr>
      <w:r w:rsidRPr="004C2B19">
        <w:rPr>
          <w:rFonts w:ascii="Times New Roman" w:hAnsi="Times New Roman" w:cs="Times New Roman"/>
          <w:b/>
          <w:sz w:val="24"/>
        </w:rPr>
        <w:t>El número de agencias</w:t>
      </w:r>
    </w:p>
    <w:p w14:paraId="7F256B3C" w14:textId="77777777" w:rsidR="000E6AEF" w:rsidRDefault="000E6AEF" w:rsidP="000E6AEF">
      <w:pPr>
        <w:pStyle w:val="Prrafodelista"/>
        <w:ind w:left="1080"/>
      </w:pPr>
    </w:p>
    <w:p w14:paraId="7F256B3D" w14:textId="77777777" w:rsidR="00476703" w:rsidRDefault="00862E8F" w:rsidP="00862E8F">
      <w:pPr>
        <w:pStyle w:val="Prrafodelista"/>
        <w:jc w:val="center"/>
      </w:pPr>
      <w:r>
        <w:rPr>
          <w:noProof/>
          <w:lang w:eastAsia="es-BO"/>
        </w:rPr>
        <w:drawing>
          <wp:inline distT="0" distB="0" distL="0" distR="0" wp14:anchorId="7F256B9F" wp14:editId="0ABC97E5">
            <wp:extent cx="4583886" cy="2176895"/>
            <wp:effectExtent l="0" t="0" r="7620" b="0"/>
            <wp:docPr id="159038642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4591747" cy="2180628"/>
                    </a:xfrm>
                    <a:prstGeom prst="rect">
                      <a:avLst/>
                    </a:prstGeom>
                  </pic:spPr>
                </pic:pic>
              </a:graphicData>
            </a:graphic>
          </wp:inline>
        </w:drawing>
      </w:r>
    </w:p>
    <w:p w14:paraId="7F256B3E" w14:textId="44FD5EC7" w:rsidR="00862E8F" w:rsidRPr="00862E8F" w:rsidRDefault="00862E8F" w:rsidP="00CC5154">
      <w:pPr>
        <w:rPr>
          <w:b/>
          <w:i/>
          <w:color w:val="A6A6A6" w:themeColor="background1" w:themeShade="A6"/>
          <w:sz w:val="20"/>
        </w:rPr>
      </w:pPr>
      <w:r>
        <w:tab/>
        <w:t xml:space="preserve">       </w:t>
      </w:r>
      <w:r w:rsidR="00490D48">
        <w:t xml:space="preserve">GRAFICO </w:t>
      </w:r>
      <w:r w:rsidR="001E7DB8">
        <w:t>9</w:t>
      </w:r>
      <w:r w:rsidR="00490D48">
        <w:t xml:space="preserve">: </w:t>
      </w:r>
      <w:r w:rsidRPr="00862E8F">
        <w:rPr>
          <w:b/>
          <w:i/>
          <w:color w:val="A6A6A6" w:themeColor="background1" w:themeShade="A6"/>
          <w:sz w:val="20"/>
        </w:rPr>
        <w:t>Fuente: Asfi y Finrural. (Elaboración propia)</w:t>
      </w:r>
    </w:p>
    <w:p w14:paraId="7F256B3F" w14:textId="77777777" w:rsidR="00593215" w:rsidRPr="004C2B19" w:rsidRDefault="008E6CAE" w:rsidP="004C2B19">
      <w:pPr>
        <w:spacing w:after="0" w:line="360" w:lineRule="auto"/>
        <w:rPr>
          <w:rFonts w:ascii="Times New Roman" w:hAnsi="Times New Roman" w:cs="Times New Roman"/>
          <w:sz w:val="24"/>
          <w:szCs w:val="24"/>
        </w:rPr>
      </w:pPr>
      <w:r w:rsidRPr="004C2B19">
        <w:rPr>
          <w:rFonts w:ascii="Times New Roman" w:hAnsi="Times New Roman" w:cs="Times New Roman"/>
          <w:sz w:val="24"/>
          <w:szCs w:val="24"/>
        </w:rPr>
        <w:t>Podemos apreciar igualmente un importante cambio de tendencia con las medidas de tasas de crecimiento cercanas al 10% antes a tasas de crecimiento aproximadas después, incluyendo una reducción del 4% el 2017.</w:t>
      </w:r>
    </w:p>
    <w:p w14:paraId="7F256B40" w14:textId="77777777" w:rsidR="00476703" w:rsidRPr="004C2B19" w:rsidRDefault="00476703" w:rsidP="004C2B19">
      <w:pPr>
        <w:pStyle w:val="Prrafodelista"/>
        <w:spacing w:after="0" w:line="360" w:lineRule="auto"/>
        <w:ind w:left="1080"/>
        <w:rPr>
          <w:rFonts w:ascii="Times New Roman" w:hAnsi="Times New Roman" w:cs="Times New Roman"/>
          <w:sz w:val="24"/>
          <w:szCs w:val="24"/>
        </w:rPr>
      </w:pPr>
    </w:p>
    <w:p w14:paraId="7F256B41" w14:textId="77777777" w:rsidR="00EA436E" w:rsidRPr="004C2B19" w:rsidRDefault="00394459" w:rsidP="004C2B19">
      <w:pPr>
        <w:pStyle w:val="Prrafodelista"/>
        <w:numPr>
          <w:ilvl w:val="1"/>
          <w:numId w:val="8"/>
        </w:numPr>
        <w:spacing w:after="0" w:line="360" w:lineRule="auto"/>
        <w:rPr>
          <w:rFonts w:ascii="Times New Roman" w:hAnsi="Times New Roman" w:cs="Times New Roman"/>
          <w:b/>
          <w:sz w:val="24"/>
          <w:szCs w:val="24"/>
        </w:rPr>
      </w:pPr>
      <w:r w:rsidRPr="004C2B19">
        <w:rPr>
          <w:rFonts w:ascii="Times New Roman" w:hAnsi="Times New Roman" w:cs="Times New Roman"/>
          <w:b/>
          <w:sz w:val="24"/>
          <w:szCs w:val="24"/>
        </w:rPr>
        <w:t>Las tasas de interés y las ganancias</w:t>
      </w:r>
    </w:p>
    <w:p w14:paraId="7F256B43" w14:textId="77777777" w:rsidR="004D7A17" w:rsidRPr="004C2B19" w:rsidRDefault="004D7A17" w:rsidP="004C2B19">
      <w:pPr>
        <w:spacing w:after="0" w:line="360" w:lineRule="auto"/>
        <w:rPr>
          <w:rFonts w:ascii="Times New Roman" w:hAnsi="Times New Roman" w:cs="Times New Roman"/>
          <w:sz w:val="24"/>
          <w:szCs w:val="24"/>
        </w:rPr>
      </w:pPr>
      <w:r w:rsidRPr="004C2B19">
        <w:rPr>
          <w:rFonts w:ascii="Times New Roman" w:hAnsi="Times New Roman" w:cs="Times New Roman"/>
          <w:sz w:val="24"/>
          <w:szCs w:val="24"/>
        </w:rPr>
        <w:t xml:space="preserve">Las medidas en la práctica apuntan a reducir las tasas de interés que los bancos cobran por los créditos y aumentar las tasas de interés que los bancos pagan por los ahorros. </w:t>
      </w:r>
    </w:p>
    <w:p w14:paraId="7F256B44" w14:textId="5C24AE89" w:rsidR="004D7A17" w:rsidRDefault="00092626" w:rsidP="00862E8F">
      <w:pPr>
        <w:jc w:val="center"/>
      </w:pPr>
      <w:r>
        <w:rPr>
          <w:noProof/>
          <w:lang w:eastAsia="es-BO"/>
        </w:rPr>
        <w:drawing>
          <wp:inline distT="0" distB="0" distL="0" distR="0" wp14:anchorId="3A083EBB" wp14:editId="68642FEB">
            <wp:extent cx="4578350" cy="16611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8350" cy="1661160"/>
                    </a:xfrm>
                    <a:prstGeom prst="rect">
                      <a:avLst/>
                    </a:prstGeom>
                    <a:noFill/>
                  </pic:spPr>
                </pic:pic>
              </a:graphicData>
            </a:graphic>
          </wp:inline>
        </w:drawing>
      </w:r>
    </w:p>
    <w:p w14:paraId="7F256B45" w14:textId="04C84B15" w:rsidR="009645CB" w:rsidRPr="00F44AA9" w:rsidRDefault="00F44AA9" w:rsidP="00F44AA9">
      <w:pPr>
        <w:spacing w:after="0"/>
        <w:rPr>
          <w:b/>
          <w:i/>
        </w:rPr>
      </w:pPr>
      <w:r>
        <w:tab/>
      </w:r>
      <w:r w:rsidR="001E7DB8">
        <w:t>GRAFICO 10</w:t>
      </w:r>
      <w:r w:rsidR="00490D48">
        <w:t xml:space="preserve">: </w:t>
      </w:r>
      <w:r w:rsidRPr="00862E8F">
        <w:rPr>
          <w:b/>
          <w:i/>
          <w:color w:val="A6A6A6" w:themeColor="background1" w:themeShade="A6"/>
          <w:sz w:val="18"/>
        </w:rPr>
        <w:t>Fuente Banco Central de Bolivia</w:t>
      </w:r>
    </w:p>
    <w:p w14:paraId="7F256B46" w14:textId="77777777" w:rsidR="00F44AA9" w:rsidRDefault="00F44AA9" w:rsidP="009645CB"/>
    <w:p w14:paraId="7F256B47" w14:textId="77777777" w:rsidR="009645CB" w:rsidRPr="00F63380" w:rsidRDefault="009645CB" w:rsidP="004C2B19">
      <w:pPr>
        <w:spacing w:after="0" w:line="360" w:lineRule="auto"/>
        <w:jc w:val="both"/>
        <w:rPr>
          <w:sz w:val="24"/>
        </w:rPr>
      </w:pPr>
      <w:r w:rsidRPr="00F63380">
        <w:rPr>
          <w:sz w:val="24"/>
        </w:rPr>
        <w:t xml:space="preserve">En el gráfico podemos ver que con las medidas las tasas de referencia se incrementan </w:t>
      </w:r>
      <w:r w:rsidR="00F44AA9" w:rsidRPr="00F63380">
        <w:rPr>
          <w:sz w:val="24"/>
        </w:rPr>
        <w:t>al menos en un punto porcentual</w:t>
      </w:r>
      <w:r w:rsidRPr="00F63380">
        <w:rPr>
          <w:sz w:val="24"/>
        </w:rPr>
        <w:t>, del 2.4% el 2014 al 3.4% en la actualidad</w:t>
      </w:r>
    </w:p>
    <w:p w14:paraId="7F256B48" w14:textId="0177C281" w:rsidR="004D7A17" w:rsidRPr="00F63380" w:rsidRDefault="003A6F0B" w:rsidP="004C2B19">
      <w:pPr>
        <w:spacing w:after="0" w:line="360" w:lineRule="auto"/>
        <w:jc w:val="both"/>
        <w:rPr>
          <w:sz w:val="24"/>
        </w:rPr>
      </w:pPr>
      <w:r w:rsidRPr="00F63380">
        <w:rPr>
          <w:sz w:val="24"/>
        </w:rPr>
        <w:t>También puede constatarse</w:t>
      </w:r>
      <w:r w:rsidR="004D7A17" w:rsidRPr="00F63380">
        <w:rPr>
          <w:sz w:val="24"/>
        </w:rPr>
        <w:t xml:space="preserve"> que las tasas de interés activas se han reducido de manera </w:t>
      </w:r>
      <w:r w:rsidRPr="00F63380">
        <w:rPr>
          <w:sz w:val="24"/>
        </w:rPr>
        <w:t>significativa desde</w:t>
      </w:r>
      <w:r w:rsidR="004D7A17" w:rsidRPr="00F63380">
        <w:rPr>
          <w:sz w:val="24"/>
        </w:rPr>
        <w:t xml:space="preserve"> las medidas, en promedio en al menos 2</w:t>
      </w:r>
      <w:r w:rsidR="009645CB" w:rsidRPr="00F63380">
        <w:rPr>
          <w:sz w:val="24"/>
        </w:rPr>
        <w:t>,5</w:t>
      </w:r>
      <w:r w:rsidR="004D7A17" w:rsidRPr="00F63380">
        <w:rPr>
          <w:sz w:val="24"/>
        </w:rPr>
        <w:t xml:space="preserve"> puntos porcentuales</w:t>
      </w:r>
      <w:r w:rsidR="009645CB" w:rsidRPr="00F63380">
        <w:rPr>
          <w:sz w:val="24"/>
        </w:rPr>
        <w:t xml:space="preserve">, que representan </w:t>
      </w:r>
      <w:r w:rsidR="00F44AA9" w:rsidRPr="00F63380">
        <w:rPr>
          <w:sz w:val="24"/>
        </w:rPr>
        <w:t>entre un 20% y un 30% de reducción dependiendo del tipo de crédito, lo que ciertamente se traduce en menos ingresos por cada peso prestado.</w:t>
      </w:r>
    </w:p>
    <w:p w14:paraId="7F256B4A" w14:textId="77777777" w:rsidR="004D7A17" w:rsidRDefault="00862E8F" w:rsidP="00862E8F">
      <w:pPr>
        <w:jc w:val="center"/>
      </w:pPr>
      <w:r>
        <w:rPr>
          <w:noProof/>
          <w:lang w:eastAsia="es-BO"/>
        </w:rPr>
        <w:drawing>
          <wp:inline distT="0" distB="0" distL="0" distR="0" wp14:anchorId="7F256BA3" wp14:editId="7AAF2063">
            <wp:extent cx="4584486" cy="2400300"/>
            <wp:effectExtent l="0" t="0" r="6985" b="0"/>
            <wp:docPr id="67044446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a:extLst>
                        <a:ext uri="{28A0092B-C50C-407E-A947-70E740481C1C}">
                          <a14:useLocalDpi xmlns:a14="http://schemas.microsoft.com/office/drawing/2010/main" val="0"/>
                        </a:ext>
                      </a:extLst>
                    </a:blip>
                    <a:stretch>
                      <a:fillRect/>
                    </a:stretch>
                  </pic:blipFill>
                  <pic:spPr>
                    <a:xfrm>
                      <a:off x="0" y="0"/>
                      <a:ext cx="4592099" cy="2404286"/>
                    </a:xfrm>
                    <a:prstGeom prst="rect">
                      <a:avLst/>
                    </a:prstGeom>
                  </pic:spPr>
                </pic:pic>
              </a:graphicData>
            </a:graphic>
          </wp:inline>
        </w:drawing>
      </w:r>
    </w:p>
    <w:p w14:paraId="7F256B4B" w14:textId="5F00FD1C" w:rsidR="004D7A17" w:rsidRPr="00862E8F" w:rsidRDefault="001E7DB8" w:rsidP="00862E8F">
      <w:pPr>
        <w:ind w:firstLine="708"/>
        <w:rPr>
          <w:b/>
          <w:i/>
          <w:color w:val="A6A6A6" w:themeColor="background1" w:themeShade="A6"/>
          <w:sz w:val="18"/>
        </w:rPr>
      </w:pPr>
      <w:r>
        <w:rPr>
          <w:b/>
          <w:i/>
          <w:color w:val="A6A6A6" w:themeColor="background1" w:themeShade="A6"/>
          <w:sz w:val="18"/>
        </w:rPr>
        <w:t>GRAFICO 11</w:t>
      </w:r>
      <w:r w:rsidR="00490D48">
        <w:rPr>
          <w:b/>
          <w:i/>
          <w:color w:val="A6A6A6" w:themeColor="background1" w:themeShade="A6"/>
          <w:sz w:val="18"/>
        </w:rPr>
        <w:t xml:space="preserve">: </w:t>
      </w:r>
      <w:r w:rsidR="009645CB" w:rsidRPr="00862E8F">
        <w:rPr>
          <w:b/>
          <w:i/>
          <w:color w:val="A6A6A6" w:themeColor="background1" w:themeShade="A6"/>
          <w:sz w:val="18"/>
        </w:rPr>
        <w:t>Elaboración propia, Fuente: Informe de estabilidad financiera BCB</w:t>
      </w:r>
    </w:p>
    <w:p w14:paraId="7F256B4C" w14:textId="1D03048C" w:rsidR="00476703" w:rsidRPr="004C2B19" w:rsidRDefault="00062063"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La tasa de crecimiento de las ganancias se reduce después de</w:t>
      </w:r>
      <w:r w:rsidR="00C9715F" w:rsidRPr="004C2B19">
        <w:rPr>
          <w:rFonts w:ascii="Times New Roman" w:hAnsi="Times New Roman" w:cs="Times New Roman"/>
          <w:sz w:val="24"/>
        </w:rPr>
        <w:t xml:space="preserve"> </w:t>
      </w:r>
      <w:r w:rsidRPr="004C2B19">
        <w:rPr>
          <w:rFonts w:ascii="Times New Roman" w:hAnsi="Times New Roman" w:cs="Times New Roman"/>
          <w:sz w:val="24"/>
        </w:rPr>
        <w:t xml:space="preserve">las medidas, aunque hay </w:t>
      </w:r>
      <w:r w:rsidR="00463A63" w:rsidRPr="004C2B19">
        <w:rPr>
          <w:rFonts w:ascii="Times New Roman" w:hAnsi="Times New Roman" w:cs="Times New Roman"/>
          <w:sz w:val="24"/>
        </w:rPr>
        <w:t xml:space="preserve">una importante variabilidad de las ganancias con crecimientos el 2012, 2014 y 2016 y decrecimientos el 2013, 2015 y 2017, el 2014 </w:t>
      </w:r>
      <w:r w:rsidR="003A6F0B" w:rsidRPr="004C2B19">
        <w:rPr>
          <w:rFonts w:ascii="Times New Roman" w:hAnsi="Times New Roman" w:cs="Times New Roman"/>
          <w:sz w:val="24"/>
        </w:rPr>
        <w:t>hay un</w:t>
      </w:r>
      <w:r w:rsidR="00463A63" w:rsidRPr="004C2B19">
        <w:rPr>
          <w:rFonts w:ascii="Times New Roman" w:hAnsi="Times New Roman" w:cs="Times New Roman"/>
          <w:sz w:val="24"/>
        </w:rPr>
        <w:t xml:space="preserve"> pico de crecimiento de las ganancias que se explica no solo por cartera de créditos, sino también por las inversiones temporarias. Es importante entender que las ganancias </w:t>
      </w:r>
      <w:r w:rsidRPr="004C2B19">
        <w:rPr>
          <w:rFonts w:ascii="Times New Roman" w:hAnsi="Times New Roman" w:cs="Times New Roman"/>
          <w:sz w:val="24"/>
        </w:rPr>
        <w:t xml:space="preserve">son un reflejo de los </w:t>
      </w:r>
      <w:r w:rsidR="00463A63" w:rsidRPr="004C2B19">
        <w:rPr>
          <w:rFonts w:ascii="Times New Roman" w:hAnsi="Times New Roman" w:cs="Times New Roman"/>
          <w:sz w:val="24"/>
        </w:rPr>
        <w:t xml:space="preserve">tratamientos contables, lo que puede explicar esta variabilidad y no son suficientes para entender la situación </w:t>
      </w:r>
      <w:r w:rsidR="003A6F0B" w:rsidRPr="004C2B19">
        <w:rPr>
          <w:rFonts w:ascii="Times New Roman" w:hAnsi="Times New Roman" w:cs="Times New Roman"/>
          <w:sz w:val="24"/>
        </w:rPr>
        <w:t>financiera de</w:t>
      </w:r>
      <w:r w:rsidR="00463A63" w:rsidRPr="004C2B19">
        <w:rPr>
          <w:rFonts w:ascii="Times New Roman" w:hAnsi="Times New Roman" w:cs="Times New Roman"/>
          <w:sz w:val="24"/>
        </w:rPr>
        <w:t xml:space="preserve"> las instituciones.</w:t>
      </w:r>
    </w:p>
    <w:p w14:paraId="7F256B4D" w14:textId="77777777" w:rsidR="003708C3" w:rsidRDefault="00416A6D" w:rsidP="00476703">
      <w:pPr>
        <w:pStyle w:val="Prrafodelista"/>
        <w:ind w:left="1080"/>
      </w:pPr>
      <w:r>
        <w:rPr>
          <w:noProof/>
          <w:lang w:eastAsia="es-BO"/>
        </w:rPr>
        <w:drawing>
          <wp:inline distT="0" distB="0" distL="0" distR="0" wp14:anchorId="7F256BA5" wp14:editId="2F3ED814">
            <wp:extent cx="4578350" cy="2755900"/>
            <wp:effectExtent l="0" t="0" r="0" b="6350"/>
            <wp:docPr id="7972865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a:extLst>
                        <a:ext uri="{28A0092B-C50C-407E-A947-70E740481C1C}">
                          <a14:useLocalDpi xmlns:a14="http://schemas.microsoft.com/office/drawing/2010/main" val="0"/>
                        </a:ext>
                      </a:extLst>
                    </a:blip>
                    <a:stretch>
                      <a:fillRect/>
                    </a:stretch>
                  </pic:blipFill>
                  <pic:spPr>
                    <a:xfrm>
                      <a:off x="0" y="0"/>
                      <a:ext cx="4578350" cy="2755900"/>
                    </a:xfrm>
                    <a:prstGeom prst="rect">
                      <a:avLst/>
                    </a:prstGeom>
                  </pic:spPr>
                </pic:pic>
              </a:graphicData>
            </a:graphic>
          </wp:inline>
        </w:drawing>
      </w:r>
    </w:p>
    <w:p w14:paraId="7F256B4E" w14:textId="0F76502B" w:rsidR="003708C3" w:rsidRPr="00862E8F" w:rsidRDefault="00862E8F" w:rsidP="002167D2">
      <w:pPr>
        <w:rPr>
          <w:b/>
          <w:i/>
          <w:color w:val="A6A6A6" w:themeColor="background1" w:themeShade="A6"/>
          <w:sz w:val="18"/>
        </w:rPr>
      </w:pPr>
      <w:r>
        <w:tab/>
        <w:t xml:space="preserve">      </w:t>
      </w:r>
      <w:r w:rsidR="001E7DB8">
        <w:t>GRAFICO 12</w:t>
      </w:r>
      <w:r w:rsidR="00490D48">
        <w:t xml:space="preserve">: </w:t>
      </w:r>
      <w:r>
        <w:t xml:space="preserve"> </w:t>
      </w:r>
      <w:r w:rsidR="00F63380" w:rsidRPr="00862E8F">
        <w:rPr>
          <w:b/>
          <w:i/>
          <w:color w:val="A6A6A6" w:themeColor="background1" w:themeShade="A6"/>
          <w:sz w:val="18"/>
        </w:rPr>
        <w:t>Fuente: ASFI y Finrural</w:t>
      </w:r>
      <w:r w:rsidR="00E75BB4" w:rsidRPr="00862E8F">
        <w:rPr>
          <w:b/>
          <w:i/>
          <w:color w:val="A6A6A6" w:themeColor="background1" w:themeShade="A6"/>
          <w:sz w:val="18"/>
        </w:rPr>
        <w:t>. (Elaboración Propia)</w:t>
      </w:r>
    </w:p>
    <w:p w14:paraId="7F256B4F" w14:textId="77777777" w:rsidR="003708C3" w:rsidRPr="004C2B19" w:rsidRDefault="002167D2"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Para entender mejor lo que ocurre con las tasas de interés y las ganancias en el sistema financiero es bueno comparar con una tienda comercial que compra productos a un valor (precio de compra) y los vende a otro valor (precio de venta), la diferencia entre el precio de venta y el precio de compra (si suponemos que n</w:t>
      </w:r>
      <w:r w:rsidR="00394459" w:rsidRPr="004C2B19">
        <w:rPr>
          <w:rFonts w:ascii="Times New Roman" w:hAnsi="Times New Roman" w:cs="Times New Roman"/>
          <w:sz w:val="24"/>
        </w:rPr>
        <w:t>o hay otros gastos: de administración</w:t>
      </w:r>
      <w:r w:rsidRPr="004C2B19">
        <w:rPr>
          <w:rFonts w:ascii="Times New Roman" w:hAnsi="Times New Roman" w:cs="Times New Roman"/>
          <w:sz w:val="24"/>
        </w:rPr>
        <w:t>, comerciales o impositivos) es la ganancia, margen o spread. Por lo que queda claro que racionalmente si el precio de compra sube y el precio de venta baja, la ganancia disminuye</w:t>
      </w:r>
      <w:r w:rsidR="00D60087" w:rsidRPr="004C2B19">
        <w:rPr>
          <w:rFonts w:ascii="Times New Roman" w:hAnsi="Times New Roman" w:cs="Times New Roman"/>
          <w:sz w:val="24"/>
        </w:rPr>
        <w:t>.</w:t>
      </w:r>
    </w:p>
    <w:p w14:paraId="7F256B50" w14:textId="07534817" w:rsidR="00D60087" w:rsidRPr="004C2B19" w:rsidRDefault="00D60087"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Cerrando la comparación la tasa de interés es el precio del dinero, La tasa pasiva (precio de compra) y l</w:t>
      </w:r>
      <w:r w:rsidR="004D7A17" w:rsidRPr="004C2B19">
        <w:rPr>
          <w:rFonts w:ascii="Times New Roman" w:hAnsi="Times New Roman" w:cs="Times New Roman"/>
          <w:sz w:val="24"/>
        </w:rPr>
        <w:t xml:space="preserve">a tasa activa (precio de venta), </w:t>
      </w:r>
      <w:r w:rsidRPr="004C2B19">
        <w:rPr>
          <w:rFonts w:ascii="Times New Roman" w:hAnsi="Times New Roman" w:cs="Times New Roman"/>
          <w:sz w:val="24"/>
        </w:rPr>
        <w:t xml:space="preserve">las medidas de regulación analizadas entre otras </w:t>
      </w:r>
      <w:r w:rsidR="003A6F0B" w:rsidRPr="004C2B19">
        <w:rPr>
          <w:rFonts w:ascii="Times New Roman" w:hAnsi="Times New Roman" w:cs="Times New Roman"/>
          <w:sz w:val="24"/>
        </w:rPr>
        <w:t>cosas incrementan</w:t>
      </w:r>
      <w:r w:rsidRPr="004C2B19">
        <w:rPr>
          <w:rFonts w:ascii="Times New Roman" w:hAnsi="Times New Roman" w:cs="Times New Roman"/>
          <w:sz w:val="24"/>
        </w:rPr>
        <w:t xml:space="preserve"> la tasa pasiva (precio de compra del dinero) y reducen las tasas activas (precio de venta), por lo que</w:t>
      </w:r>
      <w:r w:rsidR="00394459" w:rsidRPr="004C2B19">
        <w:rPr>
          <w:rFonts w:ascii="Times New Roman" w:hAnsi="Times New Roman" w:cs="Times New Roman"/>
          <w:sz w:val="24"/>
        </w:rPr>
        <w:t xml:space="preserve"> </w:t>
      </w:r>
      <w:r w:rsidRPr="004C2B19">
        <w:rPr>
          <w:rFonts w:ascii="Times New Roman" w:hAnsi="Times New Roman" w:cs="Times New Roman"/>
          <w:sz w:val="24"/>
        </w:rPr>
        <w:t xml:space="preserve">es posible afirmar que las ganancias del sistema </w:t>
      </w:r>
      <w:r w:rsidR="003A6F0B" w:rsidRPr="004C2B19">
        <w:rPr>
          <w:rFonts w:ascii="Times New Roman" w:hAnsi="Times New Roman" w:cs="Times New Roman"/>
          <w:sz w:val="24"/>
        </w:rPr>
        <w:t>financiero están</w:t>
      </w:r>
      <w:r w:rsidR="00394459" w:rsidRPr="004C2B19">
        <w:rPr>
          <w:rFonts w:ascii="Times New Roman" w:hAnsi="Times New Roman" w:cs="Times New Roman"/>
          <w:sz w:val="24"/>
        </w:rPr>
        <w:t xml:space="preserve"> </w:t>
      </w:r>
      <w:r w:rsidR="003A6F0B" w:rsidRPr="004C2B19">
        <w:rPr>
          <w:rFonts w:ascii="Times New Roman" w:hAnsi="Times New Roman" w:cs="Times New Roman"/>
          <w:sz w:val="24"/>
        </w:rPr>
        <w:t>disminuyendo y</w:t>
      </w:r>
      <w:r w:rsidR="00394459" w:rsidRPr="004C2B19">
        <w:rPr>
          <w:rFonts w:ascii="Times New Roman" w:hAnsi="Times New Roman" w:cs="Times New Roman"/>
          <w:sz w:val="24"/>
        </w:rPr>
        <w:t xml:space="preserve"> tienden a disminuir más aun</w:t>
      </w:r>
      <w:r w:rsidRPr="004C2B19">
        <w:rPr>
          <w:rFonts w:ascii="Times New Roman" w:hAnsi="Times New Roman" w:cs="Times New Roman"/>
          <w:sz w:val="24"/>
        </w:rPr>
        <w:t>, a no ser que:</w:t>
      </w:r>
    </w:p>
    <w:p w14:paraId="7F256B51" w14:textId="77777777" w:rsidR="00D60087" w:rsidRPr="004C2B19" w:rsidRDefault="00D60087" w:rsidP="004C2B19">
      <w:pPr>
        <w:pStyle w:val="Prrafodelista"/>
        <w:numPr>
          <w:ilvl w:val="0"/>
          <w:numId w:val="14"/>
        </w:numPr>
        <w:spacing w:after="0" w:line="360" w:lineRule="auto"/>
        <w:jc w:val="both"/>
        <w:rPr>
          <w:rFonts w:ascii="Times New Roman" w:hAnsi="Times New Roman" w:cs="Times New Roman"/>
          <w:sz w:val="24"/>
        </w:rPr>
      </w:pPr>
      <w:r w:rsidRPr="004C2B19">
        <w:rPr>
          <w:rFonts w:ascii="Times New Roman" w:hAnsi="Times New Roman" w:cs="Times New Roman"/>
          <w:sz w:val="24"/>
        </w:rPr>
        <w:t>El volumen del negocio crezca significativamente, es decir en una proporción mucho mayor al achicamiento de la diferencia entre tasa activa y pasiva. Esto no está ocurriendo como se explicó anteriormente (ver 4.1 de este documento)</w:t>
      </w:r>
    </w:p>
    <w:p w14:paraId="7F256B53" w14:textId="049A304F" w:rsidR="00394459" w:rsidRPr="000969C0" w:rsidRDefault="00D60087" w:rsidP="000969C0">
      <w:pPr>
        <w:pStyle w:val="Prrafodelista"/>
        <w:numPr>
          <w:ilvl w:val="0"/>
          <w:numId w:val="14"/>
        </w:numPr>
        <w:spacing w:after="0" w:line="360" w:lineRule="auto"/>
        <w:jc w:val="both"/>
        <w:rPr>
          <w:rFonts w:ascii="Times New Roman" w:hAnsi="Times New Roman" w:cs="Times New Roman"/>
          <w:sz w:val="24"/>
        </w:rPr>
      </w:pPr>
      <w:r w:rsidRPr="004C2B19">
        <w:rPr>
          <w:rFonts w:ascii="Times New Roman" w:hAnsi="Times New Roman" w:cs="Times New Roman"/>
          <w:sz w:val="24"/>
        </w:rPr>
        <w:t>Que los otros gastos (de comercialización, administración</w:t>
      </w:r>
      <w:r w:rsidR="00380C13" w:rsidRPr="004C2B19">
        <w:rPr>
          <w:rFonts w:ascii="Times New Roman" w:hAnsi="Times New Roman" w:cs="Times New Roman"/>
          <w:sz w:val="24"/>
        </w:rPr>
        <w:t>)</w:t>
      </w:r>
      <w:r w:rsidRPr="004C2B19">
        <w:rPr>
          <w:rFonts w:ascii="Times New Roman" w:hAnsi="Times New Roman" w:cs="Times New Roman"/>
          <w:sz w:val="24"/>
        </w:rPr>
        <w:t xml:space="preserve"> disminu</w:t>
      </w:r>
      <w:r w:rsidR="00394459" w:rsidRPr="004C2B19">
        <w:rPr>
          <w:rFonts w:ascii="Times New Roman" w:hAnsi="Times New Roman" w:cs="Times New Roman"/>
          <w:sz w:val="24"/>
        </w:rPr>
        <w:t>yan de manera más significativa</w:t>
      </w:r>
      <w:r w:rsidRPr="004C2B19">
        <w:rPr>
          <w:rFonts w:ascii="Times New Roman" w:hAnsi="Times New Roman" w:cs="Times New Roman"/>
          <w:sz w:val="24"/>
        </w:rPr>
        <w:t xml:space="preserve"> a la reducción de la brecha entre tasa activa y pasiva).</w:t>
      </w:r>
      <w:r w:rsidR="00394459" w:rsidRPr="004C2B19">
        <w:rPr>
          <w:rFonts w:ascii="Times New Roman" w:hAnsi="Times New Roman" w:cs="Times New Roman"/>
          <w:sz w:val="24"/>
        </w:rPr>
        <w:t xml:space="preserve"> Esto si </w:t>
      </w:r>
      <w:r w:rsidR="003A6F0B" w:rsidRPr="004C2B19">
        <w:rPr>
          <w:rFonts w:ascii="Times New Roman" w:hAnsi="Times New Roman" w:cs="Times New Roman"/>
          <w:sz w:val="24"/>
        </w:rPr>
        <w:t>está ocurriendo</w:t>
      </w:r>
      <w:r w:rsidR="00394459" w:rsidRPr="004C2B19">
        <w:rPr>
          <w:rFonts w:ascii="Times New Roman" w:hAnsi="Times New Roman" w:cs="Times New Roman"/>
          <w:sz w:val="24"/>
        </w:rPr>
        <w:t xml:space="preserve"> como puede verse en la desaceleración y estancamiento en el crecimiento de agencias y número de empleados, pero, no en la proporción </w:t>
      </w:r>
      <w:r w:rsidR="003A6F0B" w:rsidRPr="004C2B19">
        <w:rPr>
          <w:rFonts w:ascii="Times New Roman" w:hAnsi="Times New Roman" w:cs="Times New Roman"/>
          <w:sz w:val="24"/>
        </w:rPr>
        <w:t>suficiente como</w:t>
      </w:r>
      <w:r w:rsidR="00394459" w:rsidRPr="004C2B19">
        <w:rPr>
          <w:rFonts w:ascii="Times New Roman" w:hAnsi="Times New Roman" w:cs="Times New Roman"/>
          <w:sz w:val="24"/>
        </w:rPr>
        <w:t xml:space="preserve"> para compensar el achicamiento de la brecha entre tasa activa y pasiva.</w:t>
      </w:r>
    </w:p>
    <w:p w14:paraId="7F256B54" w14:textId="37BCE774" w:rsidR="00394459" w:rsidRPr="004C2B19" w:rsidRDefault="00394459" w:rsidP="004C2B19">
      <w:pPr>
        <w:pStyle w:val="Prrafodelista"/>
        <w:numPr>
          <w:ilvl w:val="0"/>
          <w:numId w:val="14"/>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Que las </w:t>
      </w:r>
      <w:r w:rsidR="003A6F0B" w:rsidRPr="004C2B19">
        <w:rPr>
          <w:rFonts w:ascii="Times New Roman" w:hAnsi="Times New Roman" w:cs="Times New Roman"/>
          <w:sz w:val="24"/>
        </w:rPr>
        <w:t>tasas impuestas</w:t>
      </w:r>
      <w:r w:rsidRPr="004C2B19">
        <w:rPr>
          <w:rFonts w:ascii="Times New Roman" w:hAnsi="Times New Roman" w:cs="Times New Roman"/>
          <w:sz w:val="24"/>
        </w:rPr>
        <w:t xml:space="preserve"> al sector financiero disminuyan, esto no está ocurriendo, más al contrario se grava al sector financiero con</w:t>
      </w:r>
      <w:r w:rsidR="00380C13" w:rsidRPr="004C2B19">
        <w:rPr>
          <w:rFonts w:ascii="Times New Roman" w:hAnsi="Times New Roman" w:cs="Times New Roman"/>
          <w:sz w:val="24"/>
        </w:rPr>
        <w:t xml:space="preserve"> un</w:t>
      </w:r>
      <w:r w:rsidRPr="004C2B19">
        <w:rPr>
          <w:rFonts w:ascii="Times New Roman" w:hAnsi="Times New Roman" w:cs="Times New Roman"/>
          <w:sz w:val="24"/>
        </w:rPr>
        <w:t xml:space="preserve"> </w:t>
      </w:r>
      <w:r w:rsidR="00380C13" w:rsidRPr="004C2B19">
        <w:rPr>
          <w:rFonts w:ascii="Times New Roman" w:hAnsi="Times New Roman" w:cs="Times New Roman"/>
          <w:sz w:val="24"/>
        </w:rPr>
        <w:t xml:space="preserve">impuesto denominado la </w:t>
      </w:r>
      <w:r w:rsidR="003A6F0B" w:rsidRPr="004C2B19">
        <w:rPr>
          <w:rFonts w:ascii="Times New Roman" w:hAnsi="Times New Roman" w:cs="Times New Roman"/>
          <w:sz w:val="24"/>
        </w:rPr>
        <w:t>Alícuota</w:t>
      </w:r>
      <w:r w:rsidR="00380C13" w:rsidRPr="004C2B19">
        <w:rPr>
          <w:rFonts w:ascii="Times New Roman" w:hAnsi="Times New Roman" w:cs="Times New Roman"/>
          <w:sz w:val="24"/>
        </w:rPr>
        <w:t xml:space="preserve"> adicional al impuesto a las utilidades AA-IUE Financiero. </w:t>
      </w:r>
      <w:sdt>
        <w:sdtPr>
          <w:rPr>
            <w:rFonts w:ascii="Times New Roman" w:hAnsi="Times New Roman" w:cs="Times New Roman"/>
            <w:sz w:val="24"/>
          </w:rPr>
          <w:id w:val="-654073687"/>
          <w:citation/>
        </w:sdtPr>
        <w:sdtEndPr/>
        <w:sdtContent>
          <w:r w:rsidR="00380C13" w:rsidRPr="004C2B19">
            <w:rPr>
              <w:rFonts w:ascii="Times New Roman" w:hAnsi="Times New Roman" w:cs="Times New Roman"/>
              <w:sz w:val="24"/>
            </w:rPr>
            <w:fldChar w:fldCharType="begin"/>
          </w:r>
          <w:r w:rsidR="00380C13" w:rsidRPr="004C2B19">
            <w:rPr>
              <w:rFonts w:ascii="Times New Roman" w:hAnsi="Times New Roman" w:cs="Times New Roman"/>
              <w:sz w:val="24"/>
            </w:rPr>
            <w:instrText xml:space="preserve"> CITATION POD16 \l 16394 </w:instrText>
          </w:r>
          <w:r w:rsidR="00380C13" w:rsidRPr="004C2B19">
            <w:rPr>
              <w:rFonts w:ascii="Times New Roman" w:hAnsi="Times New Roman" w:cs="Times New Roman"/>
              <w:sz w:val="24"/>
            </w:rPr>
            <w:fldChar w:fldCharType="separate"/>
          </w:r>
          <w:r w:rsidR="00380C13" w:rsidRPr="004C2B19">
            <w:rPr>
              <w:rFonts w:ascii="Times New Roman" w:hAnsi="Times New Roman" w:cs="Times New Roman"/>
              <w:noProof/>
              <w:sz w:val="24"/>
            </w:rPr>
            <w:t>(BOLIVIA P. E., 2016)</w:t>
          </w:r>
          <w:r w:rsidR="00380C13" w:rsidRPr="004C2B19">
            <w:rPr>
              <w:rFonts w:ascii="Times New Roman" w:hAnsi="Times New Roman" w:cs="Times New Roman"/>
              <w:sz w:val="24"/>
            </w:rPr>
            <w:fldChar w:fldCharType="end"/>
          </w:r>
        </w:sdtContent>
      </w:sdt>
    </w:p>
    <w:p w14:paraId="7F256B55" w14:textId="77777777" w:rsidR="00D60087" w:rsidRDefault="00394459" w:rsidP="004C2B19">
      <w:pPr>
        <w:pStyle w:val="Prrafodelista"/>
        <w:numPr>
          <w:ilvl w:val="0"/>
          <w:numId w:val="14"/>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Que las instituciones financieras recompongan sus negocios, reduciendo su activo principal </w:t>
      </w:r>
      <w:r w:rsidR="00B60365" w:rsidRPr="004C2B19">
        <w:rPr>
          <w:rFonts w:ascii="Times New Roman" w:hAnsi="Times New Roman" w:cs="Times New Roman"/>
          <w:sz w:val="24"/>
        </w:rPr>
        <w:t>(</w:t>
      </w:r>
      <w:r w:rsidRPr="004C2B19">
        <w:rPr>
          <w:rFonts w:ascii="Times New Roman" w:hAnsi="Times New Roman" w:cs="Times New Roman"/>
          <w:sz w:val="24"/>
        </w:rPr>
        <w:t>cartera de créditos</w:t>
      </w:r>
      <w:r w:rsidR="00B60365" w:rsidRPr="004C2B19">
        <w:rPr>
          <w:rFonts w:ascii="Times New Roman" w:hAnsi="Times New Roman" w:cs="Times New Roman"/>
          <w:sz w:val="24"/>
        </w:rPr>
        <w:t>)</w:t>
      </w:r>
      <w:r w:rsidRPr="004C2B19">
        <w:rPr>
          <w:rFonts w:ascii="Times New Roman" w:hAnsi="Times New Roman" w:cs="Times New Roman"/>
          <w:sz w:val="24"/>
        </w:rPr>
        <w:t xml:space="preserve"> e incr</w:t>
      </w:r>
      <w:r w:rsidR="00B60365" w:rsidRPr="004C2B19">
        <w:rPr>
          <w:rFonts w:ascii="Times New Roman" w:hAnsi="Times New Roman" w:cs="Times New Roman"/>
          <w:sz w:val="24"/>
        </w:rPr>
        <w:t>ementando sus otras inversiones -</w:t>
      </w:r>
      <w:r w:rsidRPr="004C2B19">
        <w:rPr>
          <w:rFonts w:ascii="Times New Roman" w:hAnsi="Times New Roman" w:cs="Times New Roman"/>
          <w:sz w:val="24"/>
        </w:rPr>
        <w:t xml:space="preserve">inversiones temporarias menos riesgosas </w:t>
      </w:r>
      <w:r w:rsidR="00B60365" w:rsidRPr="004C2B19">
        <w:rPr>
          <w:rFonts w:ascii="Times New Roman" w:hAnsi="Times New Roman" w:cs="Times New Roman"/>
          <w:sz w:val="24"/>
        </w:rPr>
        <w:t>y</w:t>
      </w:r>
      <w:r w:rsidRPr="004C2B19">
        <w:rPr>
          <w:rFonts w:ascii="Times New Roman" w:hAnsi="Times New Roman" w:cs="Times New Roman"/>
          <w:sz w:val="24"/>
        </w:rPr>
        <w:t xml:space="preserve"> más rentable dada la reducción de la br</w:t>
      </w:r>
      <w:r w:rsidR="00B60365" w:rsidRPr="004C2B19">
        <w:rPr>
          <w:rFonts w:ascii="Times New Roman" w:hAnsi="Times New Roman" w:cs="Times New Roman"/>
          <w:sz w:val="24"/>
        </w:rPr>
        <w:t>echa entre tasa activa y pasiva.</w:t>
      </w:r>
    </w:p>
    <w:p w14:paraId="2A3C0C9C" w14:textId="77777777" w:rsidR="000969C0" w:rsidRDefault="000969C0" w:rsidP="000969C0">
      <w:pPr>
        <w:spacing w:after="0" w:line="360" w:lineRule="auto"/>
        <w:jc w:val="both"/>
        <w:rPr>
          <w:rFonts w:ascii="Times New Roman" w:hAnsi="Times New Roman" w:cs="Times New Roman"/>
          <w:sz w:val="24"/>
        </w:rPr>
      </w:pPr>
    </w:p>
    <w:p w14:paraId="22478C82" w14:textId="77777777" w:rsidR="000969C0" w:rsidRPr="000969C0" w:rsidRDefault="000969C0" w:rsidP="000969C0">
      <w:pPr>
        <w:spacing w:after="0" w:line="360" w:lineRule="auto"/>
        <w:jc w:val="both"/>
        <w:rPr>
          <w:rFonts w:ascii="Times New Roman" w:hAnsi="Times New Roman" w:cs="Times New Roman"/>
          <w:sz w:val="24"/>
        </w:rPr>
      </w:pPr>
    </w:p>
    <w:p w14:paraId="7F256B56" w14:textId="77777777" w:rsidR="00E75BB4" w:rsidRPr="004C2B19" w:rsidRDefault="00E75BB4" w:rsidP="004C2B19">
      <w:pPr>
        <w:pStyle w:val="Prrafodelista"/>
        <w:spacing w:after="0" w:line="360" w:lineRule="auto"/>
        <w:jc w:val="both"/>
        <w:rPr>
          <w:rFonts w:ascii="Times New Roman" w:hAnsi="Times New Roman" w:cs="Times New Roman"/>
          <w:sz w:val="24"/>
        </w:rPr>
      </w:pPr>
    </w:p>
    <w:p w14:paraId="7F256B57" w14:textId="77777777" w:rsidR="00773FF1" w:rsidRPr="004C2B19" w:rsidRDefault="001C4DE0" w:rsidP="004C2B19">
      <w:pPr>
        <w:pStyle w:val="Prrafodelista"/>
        <w:numPr>
          <w:ilvl w:val="1"/>
          <w:numId w:val="8"/>
        </w:numPr>
        <w:spacing w:after="0" w:line="360" w:lineRule="auto"/>
        <w:jc w:val="both"/>
        <w:rPr>
          <w:rFonts w:ascii="Times New Roman" w:hAnsi="Times New Roman" w:cs="Times New Roman"/>
          <w:b/>
          <w:sz w:val="24"/>
        </w:rPr>
      </w:pPr>
      <w:r w:rsidRPr="004C2B19">
        <w:rPr>
          <w:rFonts w:ascii="Times New Roman" w:hAnsi="Times New Roman" w:cs="Times New Roman"/>
          <w:b/>
          <w:sz w:val="24"/>
        </w:rPr>
        <w:t>E</w:t>
      </w:r>
      <w:r w:rsidR="00CC5154" w:rsidRPr="004C2B19">
        <w:rPr>
          <w:rFonts w:ascii="Times New Roman" w:hAnsi="Times New Roman" w:cs="Times New Roman"/>
          <w:b/>
          <w:sz w:val="24"/>
        </w:rPr>
        <w:t>l riesgo de mercado</w:t>
      </w:r>
    </w:p>
    <w:p w14:paraId="7F256B58" w14:textId="04CF1CBB" w:rsidR="001E56DD" w:rsidRDefault="00B254BC" w:rsidP="004C2B19">
      <w:pPr>
        <w:spacing w:after="0" w:line="360" w:lineRule="auto"/>
        <w:ind w:left="360"/>
        <w:jc w:val="both"/>
        <w:rPr>
          <w:rFonts w:ascii="Times New Roman" w:hAnsi="Times New Roman" w:cs="Times New Roman"/>
          <w:sz w:val="24"/>
        </w:rPr>
      </w:pPr>
      <w:r w:rsidRPr="004C2B19">
        <w:rPr>
          <w:rFonts w:ascii="Times New Roman" w:hAnsi="Times New Roman" w:cs="Times New Roman"/>
          <w:sz w:val="24"/>
        </w:rPr>
        <w:t xml:space="preserve">Podemos definir el </w:t>
      </w:r>
      <w:r w:rsidR="00CC7B6E" w:rsidRPr="004C2B19">
        <w:rPr>
          <w:rFonts w:ascii="Times New Roman" w:hAnsi="Times New Roman" w:cs="Times New Roman"/>
          <w:sz w:val="24"/>
        </w:rPr>
        <w:t>riesgo de mercado</w:t>
      </w:r>
      <w:r w:rsidRPr="004C2B19">
        <w:rPr>
          <w:rFonts w:ascii="Times New Roman" w:hAnsi="Times New Roman" w:cs="Times New Roman"/>
          <w:sz w:val="24"/>
        </w:rPr>
        <w:t xml:space="preserve"> como: la posibilidad de incurrir en </w:t>
      </w:r>
      <w:r w:rsidR="00221560" w:rsidRPr="004C2B19">
        <w:rPr>
          <w:rFonts w:ascii="Times New Roman" w:hAnsi="Times New Roman" w:cs="Times New Roman"/>
          <w:sz w:val="24"/>
        </w:rPr>
        <w:t>pérdidas</w:t>
      </w:r>
      <w:r w:rsidRPr="004C2B19">
        <w:rPr>
          <w:rFonts w:ascii="Times New Roman" w:hAnsi="Times New Roman" w:cs="Times New Roman"/>
          <w:sz w:val="24"/>
        </w:rPr>
        <w:t xml:space="preserve"> derivadas de </w:t>
      </w:r>
      <w:r w:rsidR="00221560" w:rsidRPr="004C2B19">
        <w:rPr>
          <w:rFonts w:ascii="Times New Roman" w:hAnsi="Times New Roman" w:cs="Times New Roman"/>
          <w:sz w:val="24"/>
        </w:rPr>
        <w:t>movimientos</w:t>
      </w:r>
      <w:r w:rsidRPr="004C2B19">
        <w:rPr>
          <w:rFonts w:ascii="Times New Roman" w:hAnsi="Times New Roman" w:cs="Times New Roman"/>
          <w:sz w:val="24"/>
        </w:rPr>
        <w:t xml:space="preserve"> adversos en los factores de mercado como </w:t>
      </w:r>
      <w:r w:rsidR="003A6F0B" w:rsidRPr="004C2B19">
        <w:rPr>
          <w:rFonts w:ascii="Times New Roman" w:hAnsi="Times New Roman" w:cs="Times New Roman"/>
          <w:sz w:val="24"/>
        </w:rPr>
        <w:t>la tasa</w:t>
      </w:r>
      <w:r w:rsidRPr="004C2B19">
        <w:rPr>
          <w:rFonts w:ascii="Times New Roman" w:hAnsi="Times New Roman" w:cs="Times New Roman"/>
          <w:sz w:val="24"/>
        </w:rPr>
        <w:t xml:space="preserve"> de </w:t>
      </w:r>
      <w:r w:rsidR="00221560" w:rsidRPr="004C2B19">
        <w:rPr>
          <w:rFonts w:ascii="Times New Roman" w:hAnsi="Times New Roman" w:cs="Times New Roman"/>
          <w:sz w:val="24"/>
        </w:rPr>
        <w:t>interés</w:t>
      </w:r>
      <w:r w:rsidRPr="004C2B19">
        <w:rPr>
          <w:rFonts w:ascii="Times New Roman" w:hAnsi="Times New Roman" w:cs="Times New Roman"/>
          <w:sz w:val="24"/>
        </w:rPr>
        <w:t>, el tipo de cambio y otros precios de instrumentos</w:t>
      </w:r>
      <w:r w:rsidR="00221560" w:rsidRPr="004C2B19">
        <w:rPr>
          <w:rFonts w:ascii="Times New Roman" w:hAnsi="Times New Roman" w:cs="Times New Roman"/>
          <w:sz w:val="24"/>
        </w:rPr>
        <w:t xml:space="preserve"> en los que la entidad ha tomado posiciones. </w:t>
      </w:r>
      <w:sdt>
        <w:sdtPr>
          <w:rPr>
            <w:rFonts w:ascii="Times New Roman" w:hAnsi="Times New Roman" w:cs="Times New Roman"/>
            <w:sz w:val="24"/>
          </w:rPr>
          <w:id w:val="1182708909"/>
          <w:citation/>
        </w:sdtPr>
        <w:sdtEndPr/>
        <w:sdtContent>
          <w:r w:rsidR="00221560" w:rsidRPr="004C2B19">
            <w:rPr>
              <w:rFonts w:ascii="Times New Roman" w:hAnsi="Times New Roman" w:cs="Times New Roman"/>
              <w:sz w:val="24"/>
            </w:rPr>
            <w:fldChar w:fldCharType="begin"/>
          </w:r>
          <w:r w:rsidR="00221560" w:rsidRPr="004C2B19">
            <w:rPr>
              <w:rFonts w:ascii="Times New Roman" w:hAnsi="Times New Roman" w:cs="Times New Roman"/>
              <w:sz w:val="24"/>
            </w:rPr>
            <w:instrText xml:space="preserve"> CITATION SBE08 \l 16394 </w:instrText>
          </w:r>
          <w:r w:rsidR="00221560" w:rsidRPr="004C2B19">
            <w:rPr>
              <w:rFonts w:ascii="Times New Roman" w:hAnsi="Times New Roman" w:cs="Times New Roman"/>
              <w:sz w:val="24"/>
            </w:rPr>
            <w:fldChar w:fldCharType="separate"/>
          </w:r>
          <w:r w:rsidR="00221560" w:rsidRPr="004C2B19">
            <w:rPr>
              <w:rFonts w:ascii="Times New Roman" w:hAnsi="Times New Roman" w:cs="Times New Roman"/>
              <w:noProof/>
              <w:sz w:val="24"/>
            </w:rPr>
            <w:t>(SBEF, 2008)</w:t>
          </w:r>
          <w:r w:rsidR="00221560" w:rsidRPr="004C2B19">
            <w:rPr>
              <w:rFonts w:ascii="Times New Roman" w:hAnsi="Times New Roman" w:cs="Times New Roman"/>
              <w:sz w:val="24"/>
            </w:rPr>
            <w:fldChar w:fldCharType="end"/>
          </w:r>
        </w:sdtContent>
      </w:sdt>
      <w:r w:rsidR="001E56DD" w:rsidRPr="004C2B19">
        <w:rPr>
          <w:rFonts w:ascii="Times New Roman" w:hAnsi="Times New Roman" w:cs="Times New Roman"/>
          <w:sz w:val="24"/>
        </w:rPr>
        <w:t>.</w:t>
      </w:r>
    </w:p>
    <w:p w14:paraId="02A10EAC" w14:textId="77777777" w:rsidR="004C2B19" w:rsidRPr="004C2B19" w:rsidRDefault="004C2B19" w:rsidP="004C2B19">
      <w:pPr>
        <w:spacing w:after="0" w:line="360" w:lineRule="auto"/>
        <w:ind w:left="360"/>
        <w:jc w:val="both"/>
        <w:rPr>
          <w:rFonts w:ascii="Times New Roman" w:hAnsi="Times New Roman" w:cs="Times New Roman"/>
          <w:sz w:val="24"/>
        </w:rPr>
      </w:pPr>
    </w:p>
    <w:p w14:paraId="7F256B59" w14:textId="15F766B5" w:rsidR="00CC7B6E" w:rsidRDefault="009624F1" w:rsidP="004C2B19">
      <w:pPr>
        <w:spacing w:after="0" w:line="360" w:lineRule="auto"/>
        <w:ind w:left="360"/>
        <w:jc w:val="both"/>
        <w:rPr>
          <w:rFonts w:ascii="Times New Roman" w:hAnsi="Times New Roman" w:cs="Times New Roman"/>
          <w:sz w:val="24"/>
        </w:rPr>
      </w:pPr>
      <w:r w:rsidRPr="004C2B19">
        <w:rPr>
          <w:rFonts w:ascii="Times New Roman" w:hAnsi="Times New Roman" w:cs="Times New Roman"/>
          <w:sz w:val="24"/>
        </w:rPr>
        <w:t>U</w:t>
      </w:r>
      <w:r w:rsidR="00CC7B6E" w:rsidRPr="004C2B19">
        <w:rPr>
          <w:rFonts w:ascii="Times New Roman" w:hAnsi="Times New Roman" w:cs="Times New Roman"/>
          <w:sz w:val="24"/>
        </w:rPr>
        <w:t>sualmente las entidades financieras toman precauciones como la aplicación de tasas variables en operaciones de mediano y largo plazo (entiéndase mayores de un año), en la práctica aplica</w:t>
      </w:r>
      <w:r w:rsidR="00221560" w:rsidRPr="004C2B19">
        <w:rPr>
          <w:rFonts w:ascii="Times New Roman" w:hAnsi="Times New Roman" w:cs="Times New Roman"/>
          <w:sz w:val="24"/>
        </w:rPr>
        <w:t>n</w:t>
      </w:r>
      <w:r w:rsidR="00CC7B6E" w:rsidRPr="004C2B19">
        <w:rPr>
          <w:rFonts w:ascii="Times New Roman" w:hAnsi="Times New Roman" w:cs="Times New Roman"/>
          <w:sz w:val="24"/>
        </w:rPr>
        <w:t xml:space="preserve"> tasas mixtas, es decir, fijas los primeros 12 o 18 meses y </w:t>
      </w:r>
      <w:r w:rsidR="003A6F0B" w:rsidRPr="004C2B19">
        <w:rPr>
          <w:rFonts w:ascii="Times New Roman" w:hAnsi="Times New Roman" w:cs="Times New Roman"/>
          <w:sz w:val="24"/>
        </w:rPr>
        <w:t>variables en</w:t>
      </w:r>
      <w:r w:rsidR="00CC7B6E" w:rsidRPr="004C2B19">
        <w:rPr>
          <w:rFonts w:ascii="Times New Roman" w:hAnsi="Times New Roman" w:cs="Times New Roman"/>
          <w:sz w:val="24"/>
        </w:rPr>
        <w:t xml:space="preserve"> el resto del plazo de la operación, esto les permite mitigar los riesgos por posibles variaciones en las tasas de interés en el mercado. </w:t>
      </w:r>
    </w:p>
    <w:p w14:paraId="124F4EBB" w14:textId="77777777" w:rsidR="004C2B19" w:rsidRPr="004C2B19" w:rsidRDefault="004C2B19" w:rsidP="004C2B19">
      <w:pPr>
        <w:spacing w:after="0" w:line="360" w:lineRule="auto"/>
        <w:ind w:left="360"/>
        <w:jc w:val="both"/>
        <w:rPr>
          <w:rFonts w:ascii="Times New Roman" w:hAnsi="Times New Roman" w:cs="Times New Roman"/>
          <w:sz w:val="24"/>
        </w:rPr>
      </w:pPr>
    </w:p>
    <w:p w14:paraId="7F256B5A" w14:textId="77777777" w:rsidR="00221560" w:rsidRDefault="00221560" w:rsidP="004C2B19">
      <w:pPr>
        <w:spacing w:after="0" w:line="360" w:lineRule="auto"/>
        <w:ind w:left="360"/>
        <w:jc w:val="both"/>
        <w:rPr>
          <w:rFonts w:ascii="Times New Roman" w:hAnsi="Times New Roman" w:cs="Times New Roman"/>
          <w:sz w:val="24"/>
        </w:rPr>
      </w:pPr>
      <w:r w:rsidRPr="004C2B19">
        <w:rPr>
          <w:rFonts w:ascii="Times New Roman" w:hAnsi="Times New Roman" w:cs="Times New Roman"/>
          <w:sz w:val="24"/>
        </w:rPr>
        <w:t xml:space="preserve">Las medidas </w:t>
      </w:r>
      <w:r w:rsidR="009624F1" w:rsidRPr="004C2B19">
        <w:rPr>
          <w:rFonts w:ascii="Times New Roman" w:hAnsi="Times New Roman" w:cs="Times New Roman"/>
          <w:sz w:val="24"/>
        </w:rPr>
        <w:t xml:space="preserve">de regulación de tasas y cupos de cartera </w:t>
      </w:r>
      <w:r w:rsidRPr="004C2B19">
        <w:rPr>
          <w:rFonts w:ascii="Times New Roman" w:hAnsi="Times New Roman" w:cs="Times New Roman"/>
          <w:sz w:val="24"/>
        </w:rPr>
        <w:t>en su redacción incorporan</w:t>
      </w:r>
      <w:r w:rsidR="004C4A05" w:rsidRPr="004C2B19">
        <w:rPr>
          <w:rFonts w:ascii="Times New Roman" w:hAnsi="Times New Roman" w:cs="Times New Roman"/>
          <w:sz w:val="24"/>
        </w:rPr>
        <w:t xml:space="preserve"> lo siguiente</w:t>
      </w:r>
      <w:r w:rsidRPr="004C2B19">
        <w:rPr>
          <w:rFonts w:ascii="Times New Roman" w:hAnsi="Times New Roman" w:cs="Times New Roman"/>
          <w:sz w:val="24"/>
        </w:rPr>
        <w:t xml:space="preserve">: Las tasas de interés activas comprendidas dentro del régimen de control de tasas de interés no podrán estructurarse en función de tasas de referencia nacionales o internacionales u otros parámetros que tornen variable la tasa de interés, exceptuando la modificación que establezca el Órgano Ejecutivo del nivel central del Estado mediante Decreto Supremo. </w:t>
      </w:r>
      <w:sdt>
        <w:sdtPr>
          <w:rPr>
            <w:rFonts w:ascii="Times New Roman" w:hAnsi="Times New Roman" w:cs="Times New Roman"/>
            <w:sz w:val="24"/>
          </w:rPr>
          <w:id w:val="-1472280712"/>
          <w:citation/>
        </w:sdtPr>
        <w:sdtEndPr/>
        <w:sdtContent>
          <w:r w:rsidRPr="004C2B19">
            <w:rPr>
              <w:rFonts w:ascii="Times New Roman" w:hAnsi="Times New Roman" w:cs="Times New Roman"/>
              <w:sz w:val="24"/>
            </w:rPr>
            <w:fldChar w:fldCharType="begin"/>
          </w:r>
          <w:r w:rsidRPr="004C2B19">
            <w:rPr>
              <w:rFonts w:ascii="Times New Roman" w:hAnsi="Times New Roman" w:cs="Times New Roman"/>
              <w:sz w:val="24"/>
            </w:rPr>
            <w:instrText xml:space="preserve"> CITATION GAC14 \l 16394 </w:instrText>
          </w:r>
          <w:r w:rsidRPr="004C2B19">
            <w:rPr>
              <w:rFonts w:ascii="Times New Roman" w:hAnsi="Times New Roman" w:cs="Times New Roman"/>
              <w:sz w:val="24"/>
            </w:rPr>
            <w:fldChar w:fldCharType="separate"/>
          </w:r>
          <w:r w:rsidRPr="004C2B19">
            <w:rPr>
              <w:rFonts w:ascii="Times New Roman" w:hAnsi="Times New Roman" w:cs="Times New Roman"/>
              <w:noProof/>
              <w:sz w:val="24"/>
            </w:rPr>
            <w:t>(GACETA OFICIAL DE BOLIVIA, 2014)</w:t>
          </w:r>
          <w:r w:rsidRPr="004C2B19">
            <w:rPr>
              <w:rFonts w:ascii="Times New Roman" w:hAnsi="Times New Roman" w:cs="Times New Roman"/>
              <w:sz w:val="24"/>
            </w:rPr>
            <w:fldChar w:fldCharType="end"/>
          </w:r>
        </w:sdtContent>
      </w:sdt>
    </w:p>
    <w:p w14:paraId="078C28AA" w14:textId="77777777" w:rsidR="004C2B19" w:rsidRPr="004C2B19" w:rsidRDefault="004C2B19" w:rsidP="004C2B19">
      <w:pPr>
        <w:spacing w:after="0" w:line="360" w:lineRule="auto"/>
        <w:ind w:left="360"/>
        <w:jc w:val="both"/>
        <w:rPr>
          <w:rFonts w:ascii="Times New Roman" w:hAnsi="Times New Roman" w:cs="Times New Roman"/>
          <w:sz w:val="24"/>
        </w:rPr>
      </w:pPr>
    </w:p>
    <w:p w14:paraId="7F256B5B" w14:textId="77777777" w:rsidR="001C4DE0" w:rsidRPr="004C2B19" w:rsidRDefault="001E56DD" w:rsidP="004C2B19">
      <w:pPr>
        <w:spacing w:after="0" w:line="360" w:lineRule="auto"/>
        <w:ind w:left="360"/>
        <w:jc w:val="both"/>
        <w:rPr>
          <w:rFonts w:ascii="Times New Roman" w:hAnsi="Times New Roman" w:cs="Times New Roman"/>
          <w:sz w:val="24"/>
        </w:rPr>
      </w:pPr>
      <w:r w:rsidRPr="004C2B19">
        <w:rPr>
          <w:rFonts w:ascii="Times New Roman" w:hAnsi="Times New Roman" w:cs="Times New Roman"/>
          <w:sz w:val="24"/>
        </w:rPr>
        <w:t>Con esta definición se establece que las tasas de interés a créditos productivos y créditos de vivienda soci</w:t>
      </w:r>
      <w:r w:rsidR="00AF6D7F" w:rsidRPr="004C2B19">
        <w:rPr>
          <w:rFonts w:ascii="Times New Roman" w:hAnsi="Times New Roman" w:cs="Times New Roman"/>
          <w:sz w:val="24"/>
        </w:rPr>
        <w:t>al no pueden ser variables, quitándoles</w:t>
      </w:r>
      <w:r w:rsidRPr="004C2B19">
        <w:rPr>
          <w:rFonts w:ascii="Times New Roman" w:hAnsi="Times New Roman" w:cs="Times New Roman"/>
          <w:sz w:val="24"/>
        </w:rPr>
        <w:t xml:space="preserve"> a las instituciones financieras la posibilidad y el derecho que tienen como empresas privadas de gestionar sus riesgos de mercado (tasa de interés), esto se ve agravado  aún más ya que con los cupos de cartera</w:t>
      </w:r>
      <w:r w:rsidR="00C9715F" w:rsidRPr="004C2B19">
        <w:rPr>
          <w:rFonts w:ascii="Times New Roman" w:hAnsi="Times New Roman" w:cs="Times New Roman"/>
          <w:sz w:val="24"/>
        </w:rPr>
        <w:t xml:space="preserve"> (60% en productiva y vivienda social)</w:t>
      </w:r>
      <w:r w:rsidR="00AF6D7F" w:rsidRPr="004C2B19">
        <w:rPr>
          <w:rFonts w:ascii="Times New Roman" w:hAnsi="Times New Roman" w:cs="Times New Roman"/>
          <w:sz w:val="24"/>
        </w:rPr>
        <w:t xml:space="preserve"> se</w:t>
      </w:r>
      <w:r w:rsidRPr="004C2B19">
        <w:rPr>
          <w:rFonts w:ascii="Times New Roman" w:hAnsi="Times New Roman" w:cs="Times New Roman"/>
          <w:sz w:val="24"/>
        </w:rPr>
        <w:t xml:space="preserve"> les impide también a las instituciones diversificar sus riesgos (principio elemental en las decisiones de inversión)</w:t>
      </w:r>
      <w:r w:rsidR="00AF6D7F" w:rsidRPr="004C2B19">
        <w:rPr>
          <w:rFonts w:ascii="Times New Roman" w:hAnsi="Times New Roman" w:cs="Times New Roman"/>
          <w:sz w:val="24"/>
        </w:rPr>
        <w:t>, obligándoles quizás a constituir cartera en sectores de mayor</w:t>
      </w:r>
      <w:r w:rsidR="004C4A05" w:rsidRPr="004C2B19">
        <w:rPr>
          <w:rFonts w:ascii="Times New Roman" w:hAnsi="Times New Roman" w:cs="Times New Roman"/>
          <w:sz w:val="24"/>
        </w:rPr>
        <w:t xml:space="preserve"> riesgo con menor </w:t>
      </w:r>
      <w:r w:rsidR="00AF6D7F" w:rsidRPr="004C2B19">
        <w:rPr>
          <w:rFonts w:ascii="Times New Roman" w:hAnsi="Times New Roman" w:cs="Times New Roman"/>
          <w:sz w:val="24"/>
        </w:rPr>
        <w:t>ganancia</w:t>
      </w:r>
      <w:r w:rsidR="004C4A05" w:rsidRPr="004C2B19">
        <w:rPr>
          <w:rFonts w:ascii="Times New Roman" w:hAnsi="Times New Roman" w:cs="Times New Roman"/>
          <w:sz w:val="24"/>
        </w:rPr>
        <w:t xml:space="preserve"> (menor brecha entre tasa activa y pasiva)</w:t>
      </w:r>
      <w:r w:rsidR="00AF6D7F" w:rsidRPr="004C2B19">
        <w:rPr>
          <w:rFonts w:ascii="Times New Roman" w:hAnsi="Times New Roman" w:cs="Times New Roman"/>
          <w:sz w:val="24"/>
        </w:rPr>
        <w:t>, nuevamente contra el principio de la inversión que establece una relación directa entre riesgo y rendimiento</w:t>
      </w:r>
      <w:r w:rsidR="004C4A05" w:rsidRPr="004C2B19">
        <w:rPr>
          <w:rFonts w:ascii="Times New Roman" w:hAnsi="Times New Roman" w:cs="Times New Roman"/>
          <w:sz w:val="24"/>
        </w:rPr>
        <w:t xml:space="preserve"> (ganancia)</w:t>
      </w:r>
      <w:r w:rsidR="00AF6D7F" w:rsidRPr="004C2B19">
        <w:rPr>
          <w:rFonts w:ascii="Times New Roman" w:hAnsi="Times New Roman" w:cs="Times New Roman"/>
          <w:sz w:val="24"/>
        </w:rPr>
        <w:t>.</w:t>
      </w:r>
    </w:p>
    <w:p w14:paraId="7F256B5C" w14:textId="77777777" w:rsidR="00CC5154" w:rsidRDefault="00CC5154" w:rsidP="004C2B19">
      <w:pPr>
        <w:pStyle w:val="Prrafodelista"/>
        <w:spacing w:after="0" w:line="360" w:lineRule="auto"/>
        <w:ind w:left="1080"/>
        <w:rPr>
          <w:rFonts w:ascii="Times New Roman" w:hAnsi="Times New Roman" w:cs="Times New Roman"/>
          <w:b/>
          <w:sz w:val="24"/>
        </w:rPr>
      </w:pPr>
    </w:p>
    <w:p w14:paraId="2DE62B13" w14:textId="77777777" w:rsidR="000969C0" w:rsidRDefault="000969C0" w:rsidP="004C2B19">
      <w:pPr>
        <w:pStyle w:val="Prrafodelista"/>
        <w:spacing w:after="0" w:line="360" w:lineRule="auto"/>
        <w:ind w:left="1080"/>
        <w:rPr>
          <w:rFonts w:ascii="Times New Roman" w:hAnsi="Times New Roman" w:cs="Times New Roman"/>
          <w:b/>
          <w:sz w:val="24"/>
        </w:rPr>
      </w:pPr>
    </w:p>
    <w:p w14:paraId="720F3531" w14:textId="77777777" w:rsidR="000969C0" w:rsidRPr="004C2B19" w:rsidRDefault="000969C0" w:rsidP="004C2B19">
      <w:pPr>
        <w:pStyle w:val="Prrafodelista"/>
        <w:spacing w:after="0" w:line="360" w:lineRule="auto"/>
        <w:ind w:left="1080"/>
        <w:rPr>
          <w:rFonts w:ascii="Times New Roman" w:hAnsi="Times New Roman" w:cs="Times New Roman"/>
          <w:b/>
          <w:sz w:val="24"/>
        </w:rPr>
      </w:pPr>
    </w:p>
    <w:p w14:paraId="7F256B5D" w14:textId="77777777" w:rsidR="00C9715F" w:rsidRPr="004C2B19" w:rsidRDefault="00F345E5" w:rsidP="004C2B19">
      <w:pPr>
        <w:pStyle w:val="Prrafodelista"/>
        <w:numPr>
          <w:ilvl w:val="1"/>
          <w:numId w:val="8"/>
        </w:numPr>
        <w:spacing w:after="0" w:line="360" w:lineRule="auto"/>
        <w:rPr>
          <w:rFonts w:ascii="Times New Roman" w:hAnsi="Times New Roman" w:cs="Times New Roman"/>
          <w:b/>
          <w:sz w:val="24"/>
        </w:rPr>
      </w:pPr>
      <w:r w:rsidRPr="004C2B19">
        <w:rPr>
          <w:rFonts w:ascii="Times New Roman" w:hAnsi="Times New Roman" w:cs="Times New Roman"/>
          <w:b/>
          <w:sz w:val="24"/>
        </w:rPr>
        <w:t>Diferencia de Medias</w:t>
      </w:r>
    </w:p>
    <w:p w14:paraId="7F256B5E" w14:textId="7E108A86" w:rsidR="00C9715F" w:rsidRDefault="00C9715F"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Para cerrar el análisis comparamos las medias de crecimiento de las principales variables</w:t>
      </w:r>
      <w:r w:rsidR="00021A63" w:rsidRPr="004C2B19">
        <w:rPr>
          <w:rFonts w:ascii="Times New Roman" w:hAnsi="Times New Roman" w:cs="Times New Roman"/>
          <w:sz w:val="24"/>
        </w:rPr>
        <w:t xml:space="preserve"> dependientes de las medidas de regulación de tasas y cupos de cartera</w:t>
      </w:r>
      <w:r w:rsidR="005571F6" w:rsidRPr="004C2B19">
        <w:rPr>
          <w:rFonts w:ascii="Times New Roman" w:hAnsi="Times New Roman" w:cs="Times New Roman"/>
          <w:sz w:val="24"/>
        </w:rPr>
        <w:t xml:space="preserve">, antes y </w:t>
      </w:r>
      <w:r w:rsidR="00F345E5" w:rsidRPr="004C2B19">
        <w:rPr>
          <w:rFonts w:ascii="Times New Roman" w:hAnsi="Times New Roman" w:cs="Times New Roman"/>
          <w:sz w:val="24"/>
        </w:rPr>
        <w:t>después</w:t>
      </w:r>
      <w:r w:rsidR="005571F6" w:rsidRPr="004C2B19">
        <w:rPr>
          <w:rFonts w:ascii="Times New Roman" w:hAnsi="Times New Roman" w:cs="Times New Roman"/>
          <w:sz w:val="24"/>
        </w:rPr>
        <w:t xml:space="preserve"> de las mismas, obteniendo la diferencia de medias.</w:t>
      </w:r>
      <w:r w:rsidR="000969C0">
        <w:rPr>
          <w:rFonts w:ascii="Times New Roman" w:hAnsi="Times New Roman" w:cs="Times New Roman"/>
          <w:sz w:val="24"/>
        </w:rPr>
        <w:t xml:space="preserve"> De un modo general se establece que para todas las variables estudiadas, hay diferencias estadísticamente significativas antes y después de las medidas.</w:t>
      </w:r>
    </w:p>
    <w:p w14:paraId="5EF424FB" w14:textId="77777777" w:rsidR="004C2B19" w:rsidRPr="004C2B19" w:rsidRDefault="004C2B19" w:rsidP="004C2B19">
      <w:pPr>
        <w:spacing w:after="0" w:line="360" w:lineRule="auto"/>
        <w:jc w:val="both"/>
        <w:rPr>
          <w:rFonts w:ascii="Times New Roman" w:hAnsi="Times New Roman" w:cs="Times New Roman"/>
          <w:sz w:val="24"/>
        </w:rPr>
      </w:pPr>
    </w:p>
    <w:p w14:paraId="7F256B5F" w14:textId="77777777" w:rsidR="00021A63" w:rsidRPr="004C2B19" w:rsidRDefault="00021A63" w:rsidP="004C2B19">
      <w:pPr>
        <w:pStyle w:val="Prrafodelista"/>
        <w:numPr>
          <w:ilvl w:val="2"/>
          <w:numId w:val="8"/>
        </w:numPr>
        <w:spacing w:after="0" w:line="360" w:lineRule="auto"/>
        <w:rPr>
          <w:rFonts w:ascii="Times New Roman" w:hAnsi="Times New Roman" w:cs="Times New Roman"/>
          <w:b/>
          <w:sz w:val="24"/>
        </w:rPr>
      </w:pPr>
      <w:r w:rsidRPr="004C2B19">
        <w:rPr>
          <w:rFonts w:ascii="Times New Roman" w:hAnsi="Times New Roman" w:cs="Times New Roman"/>
          <w:b/>
          <w:sz w:val="24"/>
        </w:rPr>
        <w:t>Cartera, depósitos y número de prestatarios</w:t>
      </w:r>
    </w:p>
    <w:p w14:paraId="7F256B60" w14:textId="63AEF613" w:rsidR="0002015C" w:rsidRPr="004C2B19" w:rsidRDefault="0002015C"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La cartera de créditos total del sistema financiero sufre una desaceleración con las medidas de regulación, con una tasa de crecimiento promedio posterior a las </w:t>
      </w:r>
      <w:r w:rsidR="003A6F0B" w:rsidRPr="004C2B19">
        <w:rPr>
          <w:rFonts w:ascii="Times New Roman" w:hAnsi="Times New Roman" w:cs="Times New Roman"/>
          <w:sz w:val="24"/>
        </w:rPr>
        <w:t>mismas de -</w:t>
      </w:r>
      <w:r w:rsidRPr="004C2B19">
        <w:rPr>
          <w:rFonts w:ascii="Times New Roman" w:hAnsi="Times New Roman" w:cs="Times New Roman"/>
          <w:sz w:val="24"/>
        </w:rPr>
        <w:t>4.85%. Este efecto es aún más negativo en número de prestatarios ya que la tasa de crecimiento media después de las medidas es del -6.43%, esto hace suponer que las entidades para buscar un nuevo equilibrio tratan de evitar prestatarios que solicitan montos muy pequeños o de zonas alejadas porque tienen mayor costo de administración.</w:t>
      </w:r>
    </w:p>
    <w:p w14:paraId="7F256B61" w14:textId="77777777" w:rsidR="0002015C" w:rsidRDefault="0002015C" w:rsidP="0002015C">
      <w:pPr>
        <w:rPr>
          <w:b/>
        </w:rPr>
      </w:pPr>
    </w:p>
    <w:p w14:paraId="7F256B62" w14:textId="77777777" w:rsidR="0002015C" w:rsidRDefault="0002015C" w:rsidP="0002015C">
      <w:pPr>
        <w:rPr>
          <w:noProof/>
          <w:lang w:eastAsia="es-BO"/>
        </w:rPr>
      </w:pPr>
      <w:r>
        <w:rPr>
          <w:noProof/>
          <w:lang w:eastAsia="es-BO"/>
        </w:rPr>
        <w:drawing>
          <wp:inline distT="0" distB="0" distL="0" distR="0" wp14:anchorId="7F256BA7" wp14:editId="7F256BA8">
            <wp:extent cx="5400040" cy="2883535"/>
            <wp:effectExtent l="0" t="0" r="10160" b="1206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256B63" w14:textId="75BFAE85" w:rsidR="0002015C" w:rsidRPr="0086037A" w:rsidRDefault="001E7DB8" w:rsidP="0002015C">
      <w:pPr>
        <w:rPr>
          <w:b/>
          <w:i/>
          <w:sz w:val="18"/>
        </w:rPr>
      </w:pPr>
      <w:r>
        <w:rPr>
          <w:b/>
          <w:i/>
          <w:color w:val="A6A6A6" w:themeColor="background1" w:themeShade="A6"/>
          <w:sz w:val="18"/>
        </w:rPr>
        <w:t>GRAFICO 13</w:t>
      </w:r>
      <w:r w:rsidR="00490D48">
        <w:rPr>
          <w:b/>
          <w:i/>
          <w:color w:val="A6A6A6" w:themeColor="background1" w:themeShade="A6"/>
          <w:sz w:val="18"/>
        </w:rPr>
        <w:t xml:space="preserve">: </w:t>
      </w:r>
      <w:r w:rsidR="0002015C" w:rsidRPr="00862E8F">
        <w:rPr>
          <w:b/>
          <w:i/>
          <w:color w:val="A6A6A6" w:themeColor="background1" w:themeShade="A6"/>
          <w:sz w:val="18"/>
        </w:rPr>
        <w:t>Fuente: ASFI, Finrural</w:t>
      </w:r>
      <w:r w:rsidR="00E75BB4" w:rsidRPr="00862E8F">
        <w:rPr>
          <w:b/>
          <w:i/>
          <w:color w:val="A6A6A6" w:themeColor="background1" w:themeShade="A6"/>
          <w:sz w:val="18"/>
        </w:rPr>
        <w:t>. (Elaboración propia)</w:t>
      </w:r>
    </w:p>
    <w:p w14:paraId="7F256B64" w14:textId="77777777" w:rsidR="0002015C" w:rsidRDefault="0002015C" w:rsidP="0002015C"/>
    <w:p w14:paraId="7F256B65" w14:textId="77777777" w:rsidR="0002015C" w:rsidRPr="004C2B19" w:rsidRDefault="0002015C"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En cuanto a cartera de créditos productivos las medias de crecimiento después de la regulación son mayores en un 9.48% a las del periodo anterior, por lo que resultan efectivas para incrementar la cartera de este sector, aunque como vimos, gran parte de este crecimiento adicional se produce a raíz del decrecimiento y estancamiento de los sectores de servicios (fundamentalmente transporte) y comercio. (ver 4.2 gráfico 2)</w:t>
      </w:r>
      <w:r w:rsidR="005571F6" w:rsidRPr="004C2B19">
        <w:rPr>
          <w:rFonts w:ascii="Times New Roman" w:hAnsi="Times New Roman" w:cs="Times New Roman"/>
          <w:sz w:val="24"/>
        </w:rPr>
        <w:t>.</w:t>
      </w:r>
    </w:p>
    <w:p w14:paraId="7F256B66" w14:textId="77777777" w:rsidR="0002015C" w:rsidRPr="004C2B19" w:rsidRDefault="0002015C"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Las medidas más ampliamente efectivas ocurren en la cartera de vivienda ya que hay un incremento promedio de 2.84% después de las mismas, a diferencia del ca</w:t>
      </w:r>
      <w:r w:rsidR="005571F6" w:rsidRPr="004C2B19">
        <w:rPr>
          <w:rFonts w:ascii="Times New Roman" w:hAnsi="Times New Roman" w:cs="Times New Roman"/>
          <w:sz w:val="24"/>
        </w:rPr>
        <w:t>so de la cartera productiva el</w:t>
      </w:r>
      <w:r w:rsidRPr="004C2B19">
        <w:rPr>
          <w:rFonts w:ascii="Times New Roman" w:hAnsi="Times New Roman" w:cs="Times New Roman"/>
          <w:sz w:val="24"/>
        </w:rPr>
        <w:t xml:space="preserve"> incremento e</w:t>
      </w:r>
      <w:r w:rsidR="005571F6" w:rsidRPr="004C2B19">
        <w:rPr>
          <w:rFonts w:ascii="Times New Roman" w:hAnsi="Times New Roman" w:cs="Times New Roman"/>
          <w:sz w:val="24"/>
        </w:rPr>
        <w:t>n este</w:t>
      </w:r>
      <w:r w:rsidRPr="004C2B19">
        <w:rPr>
          <w:rFonts w:ascii="Times New Roman" w:hAnsi="Times New Roman" w:cs="Times New Roman"/>
          <w:sz w:val="24"/>
        </w:rPr>
        <w:t xml:space="preserve"> sector</w:t>
      </w:r>
      <w:r w:rsidR="005571F6" w:rsidRPr="004C2B19">
        <w:rPr>
          <w:rFonts w:ascii="Times New Roman" w:hAnsi="Times New Roman" w:cs="Times New Roman"/>
          <w:sz w:val="24"/>
        </w:rPr>
        <w:t xml:space="preserve"> es neto</w:t>
      </w:r>
      <w:r w:rsidRPr="004C2B19">
        <w:rPr>
          <w:rFonts w:ascii="Times New Roman" w:hAnsi="Times New Roman" w:cs="Times New Roman"/>
          <w:sz w:val="24"/>
        </w:rPr>
        <w:t>.</w:t>
      </w:r>
    </w:p>
    <w:p w14:paraId="7F256B68" w14:textId="2B80F7F2" w:rsidR="0002015C" w:rsidRPr="004C2B19" w:rsidRDefault="003A6F0B"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Finalmente,</w:t>
      </w:r>
      <w:r w:rsidR="0002015C" w:rsidRPr="004C2B19">
        <w:rPr>
          <w:rFonts w:ascii="Times New Roman" w:hAnsi="Times New Roman" w:cs="Times New Roman"/>
          <w:sz w:val="24"/>
        </w:rPr>
        <w:t xml:space="preserve"> </w:t>
      </w:r>
      <w:r w:rsidR="005571F6" w:rsidRPr="004C2B19">
        <w:rPr>
          <w:rFonts w:ascii="Times New Roman" w:hAnsi="Times New Roman" w:cs="Times New Roman"/>
          <w:sz w:val="24"/>
        </w:rPr>
        <w:t xml:space="preserve">el crecimiento medio de la cartera de depósitos después de la regulación es -6.83% menor al anterior periodo, por lo que </w:t>
      </w:r>
      <w:r w:rsidR="0002015C" w:rsidRPr="004C2B19">
        <w:rPr>
          <w:rFonts w:ascii="Times New Roman" w:hAnsi="Times New Roman" w:cs="Times New Roman"/>
          <w:sz w:val="24"/>
        </w:rPr>
        <w:t>podemos afirmar que los ahorristas no parecen ser muy sensibles al incremento de las tasas pasivas tanto en cajas de ahorro como DPFs</w:t>
      </w:r>
      <w:r w:rsidR="005571F6" w:rsidRPr="004C2B19">
        <w:rPr>
          <w:rFonts w:ascii="Times New Roman" w:hAnsi="Times New Roman" w:cs="Times New Roman"/>
          <w:sz w:val="24"/>
        </w:rPr>
        <w:t xml:space="preserve">, o que estos incrementos los perciben como poco significativos y no generan incremento en la cartera de ahorros. </w:t>
      </w:r>
    </w:p>
    <w:p w14:paraId="7F256B69" w14:textId="77777777" w:rsidR="005571F6" w:rsidRPr="004C2B19" w:rsidRDefault="005571F6" w:rsidP="004C2B19">
      <w:pPr>
        <w:spacing w:after="0" w:line="360" w:lineRule="auto"/>
        <w:rPr>
          <w:rFonts w:ascii="Times New Roman" w:hAnsi="Times New Roman" w:cs="Times New Roman"/>
          <w:b/>
          <w:sz w:val="24"/>
        </w:rPr>
      </w:pPr>
    </w:p>
    <w:p w14:paraId="7F256B6A" w14:textId="77777777" w:rsidR="0002015C" w:rsidRPr="004C2B19" w:rsidRDefault="005571F6" w:rsidP="004C2B19">
      <w:pPr>
        <w:pStyle w:val="Prrafodelista"/>
        <w:numPr>
          <w:ilvl w:val="2"/>
          <w:numId w:val="8"/>
        </w:numPr>
        <w:spacing w:after="0" w:line="360" w:lineRule="auto"/>
        <w:rPr>
          <w:rFonts w:ascii="Times New Roman" w:hAnsi="Times New Roman" w:cs="Times New Roman"/>
          <w:b/>
          <w:sz w:val="24"/>
        </w:rPr>
      </w:pPr>
      <w:r w:rsidRPr="004C2B19">
        <w:rPr>
          <w:rFonts w:ascii="Times New Roman" w:hAnsi="Times New Roman" w:cs="Times New Roman"/>
          <w:b/>
          <w:sz w:val="24"/>
        </w:rPr>
        <w:t>Ganancias, Número de agencias y Número de empleados</w:t>
      </w:r>
    </w:p>
    <w:p w14:paraId="7F256B6B" w14:textId="4FF21B07" w:rsidR="005571F6" w:rsidRPr="004C2B19" w:rsidRDefault="00F345E5"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Las ganancias del sistema financiero se desaceleran en un </w:t>
      </w:r>
      <w:r w:rsidR="00E75BB4" w:rsidRPr="004C2B19">
        <w:rPr>
          <w:rFonts w:ascii="Times New Roman" w:hAnsi="Times New Roman" w:cs="Times New Roman"/>
          <w:sz w:val="24"/>
        </w:rPr>
        <w:t>-</w:t>
      </w:r>
      <w:r w:rsidRPr="004C2B19">
        <w:rPr>
          <w:rFonts w:ascii="Times New Roman" w:hAnsi="Times New Roman" w:cs="Times New Roman"/>
          <w:sz w:val="24"/>
        </w:rPr>
        <w:t>7.17%, a pesar de que las instituciones toman medidas para reducir gastos administrativos, desa</w:t>
      </w:r>
      <w:r w:rsidR="00E75BB4" w:rsidRPr="004C2B19">
        <w:rPr>
          <w:rFonts w:ascii="Times New Roman" w:hAnsi="Times New Roman" w:cs="Times New Roman"/>
          <w:sz w:val="24"/>
        </w:rPr>
        <w:t>celerando el crecimiento del nú</w:t>
      </w:r>
      <w:r w:rsidRPr="004C2B19">
        <w:rPr>
          <w:rFonts w:ascii="Times New Roman" w:hAnsi="Times New Roman" w:cs="Times New Roman"/>
          <w:sz w:val="24"/>
        </w:rPr>
        <w:t xml:space="preserve">mero de agencias en un </w:t>
      </w:r>
      <w:r w:rsidR="00E75BB4" w:rsidRPr="004C2B19">
        <w:rPr>
          <w:rFonts w:ascii="Times New Roman" w:hAnsi="Times New Roman" w:cs="Times New Roman"/>
          <w:sz w:val="24"/>
        </w:rPr>
        <w:t>-</w:t>
      </w:r>
      <w:r w:rsidRPr="004C2B19">
        <w:rPr>
          <w:rFonts w:ascii="Times New Roman" w:hAnsi="Times New Roman" w:cs="Times New Roman"/>
          <w:sz w:val="24"/>
        </w:rPr>
        <w:t xml:space="preserve">6.23% </w:t>
      </w:r>
      <w:r w:rsidR="003A6F0B" w:rsidRPr="004C2B19">
        <w:rPr>
          <w:rFonts w:ascii="Times New Roman" w:hAnsi="Times New Roman" w:cs="Times New Roman"/>
          <w:sz w:val="24"/>
        </w:rPr>
        <w:t>con relación a</w:t>
      </w:r>
      <w:r w:rsidRPr="004C2B19">
        <w:rPr>
          <w:rFonts w:ascii="Times New Roman" w:hAnsi="Times New Roman" w:cs="Times New Roman"/>
          <w:sz w:val="24"/>
        </w:rPr>
        <w:t xml:space="preserve"> la media de antes de las </w:t>
      </w:r>
      <w:r w:rsidR="003A6F0B" w:rsidRPr="004C2B19">
        <w:rPr>
          <w:rFonts w:ascii="Times New Roman" w:hAnsi="Times New Roman" w:cs="Times New Roman"/>
          <w:sz w:val="24"/>
        </w:rPr>
        <w:t>medidas y</w:t>
      </w:r>
      <w:r w:rsidRPr="004C2B19">
        <w:rPr>
          <w:rFonts w:ascii="Times New Roman" w:hAnsi="Times New Roman" w:cs="Times New Roman"/>
          <w:sz w:val="24"/>
        </w:rPr>
        <w:t xml:space="preserve"> también reduciendo gastos en personal con un promedio de crecimiento posterior a la regulación inferior en </w:t>
      </w:r>
      <w:r w:rsidR="00E75BB4" w:rsidRPr="004C2B19">
        <w:rPr>
          <w:rFonts w:ascii="Times New Roman" w:hAnsi="Times New Roman" w:cs="Times New Roman"/>
          <w:sz w:val="24"/>
        </w:rPr>
        <w:t>-</w:t>
      </w:r>
      <w:r w:rsidRPr="004C2B19">
        <w:rPr>
          <w:rFonts w:ascii="Times New Roman" w:hAnsi="Times New Roman" w:cs="Times New Roman"/>
          <w:sz w:val="24"/>
        </w:rPr>
        <w:t>7.41% al periodo anterior.</w:t>
      </w:r>
    </w:p>
    <w:p w14:paraId="7F256B6C" w14:textId="77777777" w:rsidR="005571F6" w:rsidRDefault="005571F6" w:rsidP="0086037A">
      <w:pPr>
        <w:jc w:val="both"/>
      </w:pPr>
      <w:r>
        <w:rPr>
          <w:noProof/>
          <w:lang w:eastAsia="es-BO"/>
        </w:rPr>
        <w:drawing>
          <wp:inline distT="0" distB="0" distL="0" distR="0" wp14:anchorId="7F256BA9" wp14:editId="493196C2">
            <wp:extent cx="5400040" cy="3008168"/>
            <wp:effectExtent l="0" t="0" r="10160" b="190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F256B6D" w14:textId="1E5EA24F" w:rsidR="005571F6" w:rsidRDefault="001E7DB8" w:rsidP="0086037A">
      <w:pPr>
        <w:jc w:val="both"/>
        <w:rPr>
          <w:b/>
          <w:i/>
          <w:color w:val="A6A6A6" w:themeColor="background1" w:themeShade="A6"/>
          <w:sz w:val="18"/>
        </w:rPr>
      </w:pPr>
      <w:r>
        <w:rPr>
          <w:b/>
          <w:i/>
          <w:color w:val="A6A6A6" w:themeColor="background1" w:themeShade="A6"/>
          <w:sz w:val="18"/>
        </w:rPr>
        <w:t>GRAFICO 14</w:t>
      </w:r>
      <w:r w:rsidR="00490D48">
        <w:rPr>
          <w:b/>
          <w:i/>
          <w:color w:val="A6A6A6" w:themeColor="background1" w:themeShade="A6"/>
          <w:sz w:val="18"/>
        </w:rPr>
        <w:t xml:space="preserve">: </w:t>
      </w:r>
      <w:r w:rsidR="00F345E5" w:rsidRPr="00862E8F">
        <w:rPr>
          <w:b/>
          <w:i/>
          <w:color w:val="A6A6A6" w:themeColor="background1" w:themeShade="A6"/>
          <w:sz w:val="18"/>
        </w:rPr>
        <w:t>Fuente: ASFI, FINRURAL</w:t>
      </w:r>
      <w:r w:rsidR="00E75BB4" w:rsidRPr="00862E8F">
        <w:rPr>
          <w:b/>
          <w:i/>
          <w:color w:val="A6A6A6" w:themeColor="background1" w:themeShade="A6"/>
          <w:sz w:val="18"/>
        </w:rPr>
        <w:t>. (Elaboración propia)</w:t>
      </w:r>
    </w:p>
    <w:p w14:paraId="4C7888F8" w14:textId="77777777" w:rsidR="000969C0" w:rsidRDefault="000969C0" w:rsidP="0086037A">
      <w:pPr>
        <w:jc w:val="both"/>
        <w:rPr>
          <w:b/>
          <w:i/>
          <w:color w:val="A6A6A6" w:themeColor="background1" w:themeShade="A6"/>
          <w:sz w:val="18"/>
        </w:rPr>
      </w:pPr>
    </w:p>
    <w:p w14:paraId="472B68C9" w14:textId="77777777" w:rsidR="000969C0" w:rsidRPr="00862E8F" w:rsidRDefault="000969C0" w:rsidP="0086037A">
      <w:pPr>
        <w:jc w:val="both"/>
        <w:rPr>
          <w:b/>
          <w:i/>
          <w:color w:val="A6A6A6" w:themeColor="background1" w:themeShade="A6"/>
          <w:sz w:val="18"/>
        </w:rPr>
      </w:pPr>
    </w:p>
    <w:p w14:paraId="7F256B6E" w14:textId="77777777" w:rsidR="002318BA" w:rsidRDefault="002318BA" w:rsidP="002318BA">
      <w:pPr>
        <w:pStyle w:val="Prrafodelista"/>
        <w:ind w:left="1080"/>
        <w:rPr>
          <w:b/>
          <w:sz w:val="24"/>
        </w:rPr>
      </w:pPr>
    </w:p>
    <w:p w14:paraId="7F256B6F" w14:textId="77777777" w:rsidR="00E2131F" w:rsidRPr="004C2B19" w:rsidRDefault="00CC5154" w:rsidP="004C2B19">
      <w:pPr>
        <w:pStyle w:val="Prrafodelista"/>
        <w:numPr>
          <w:ilvl w:val="1"/>
          <w:numId w:val="8"/>
        </w:numPr>
        <w:spacing w:after="0" w:line="360" w:lineRule="auto"/>
        <w:rPr>
          <w:rFonts w:ascii="Times New Roman" w:hAnsi="Times New Roman" w:cs="Times New Roman"/>
          <w:b/>
          <w:sz w:val="24"/>
        </w:rPr>
      </w:pPr>
      <w:r w:rsidRPr="004C2B19">
        <w:rPr>
          <w:rFonts w:ascii="Times New Roman" w:hAnsi="Times New Roman" w:cs="Times New Roman"/>
          <w:b/>
          <w:sz w:val="24"/>
        </w:rPr>
        <w:t>El cumplimiento de cupos de cartera</w:t>
      </w:r>
    </w:p>
    <w:p w14:paraId="7F256B70" w14:textId="77777777" w:rsidR="00593215" w:rsidRPr="004C2B19" w:rsidRDefault="00D67A23"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Al cierre del año 2017 los bancos en general (</w:t>
      </w:r>
      <w:r w:rsidR="00223875" w:rsidRPr="004C2B19">
        <w:rPr>
          <w:rFonts w:ascii="Times New Roman" w:hAnsi="Times New Roman" w:cs="Times New Roman"/>
          <w:sz w:val="24"/>
        </w:rPr>
        <w:t>múltiples</w:t>
      </w:r>
      <w:r w:rsidRPr="004C2B19">
        <w:rPr>
          <w:rFonts w:ascii="Times New Roman" w:hAnsi="Times New Roman" w:cs="Times New Roman"/>
          <w:sz w:val="24"/>
        </w:rPr>
        <w:t xml:space="preserve"> o PYMEs), llegaron al 57% de su cartera total en créditos productivos o de vivienda social</w:t>
      </w:r>
      <w:r w:rsidR="00223875" w:rsidRPr="004C2B19">
        <w:rPr>
          <w:rFonts w:ascii="Times New Roman" w:hAnsi="Times New Roman" w:cs="Times New Roman"/>
          <w:sz w:val="24"/>
        </w:rPr>
        <w:t>, por lo que es previsible que al vencimiento del plazo para alcanzar los cupos de cartera definidos</w:t>
      </w:r>
      <w:r w:rsidR="008A1EF1" w:rsidRPr="004C2B19">
        <w:rPr>
          <w:rFonts w:ascii="Times New Roman" w:hAnsi="Times New Roman" w:cs="Times New Roman"/>
          <w:sz w:val="24"/>
        </w:rPr>
        <w:t xml:space="preserve"> (60% entre productiva y vivienda social)</w:t>
      </w:r>
      <w:r w:rsidR="00A77830" w:rsidRPr="004C2B19">
        <w:rPr>
          <w:rFonts w:ascii="Times New Roman" w:hAnsi="Times New Roman" w:cs="Times New Roman"/>
          <w:sz w:val="24"/>
        </w:rPr>
        <w:t xml:space="preserve"> que es diciembre de 2018</w:t>
      </w:r>
      <w:r w:rsidR="00223875" w:rsidRPr="004C2B19">
        <w:rPr>
          <w:rFonts w:ascii="Times New Roman" w:hAnsi="Times New Roman" w:cs="Times New Roman"/>
          <w:sz w:val="24"/>
        </w:rPr>
        <w:t>, no tendrán problema</w:t>
      </w:r>
      <w:r w:rsidR="00A77830" w:rsidRPr="004C2B19">
        <w:rPr>
          <w:rFonts w:ascii="Times New Roman" w:hAnsi="Times New Roman" w:cs="Times New Roman"/>
          <w:sz w:val="24"/>
        </w:rPr>
        <w:t xml:space="preserve"> para cumplir la norma</w:t>
      </w:r>
      <w:r w:rsidR="008A1EF1" w:rsidRPr="004C2B19">
        <w:rPr>
          <w:rFonts w:ascii="Times New Roman" w:hAnsi="Times New Roman" w:cs="Times New Roman"/>
          <w:sz w:val="24"/>
        </w:rPr>
        <w:t>.</w:t>
      </w:r>
    </w:p>
    <w:p w14:paraId="7F256B71" w14:textId="77777777" w:rsidR="002318BA" w:rsidRPr="004C2B19" w:rsidRDefault="002318BA" w:rsidP="004C2B19">
      <w:pPr>
        <w:spacing w:after="0" w:line="360" w:lineRule="auto"/>
        <w:jc w:val="both"/>
        <w:rPr>
          <w:rFonts w:ascii="Times New Roman" w:hAnsi="Times New Roman" w:cs="Times New Roman"/>
          <w:sz w:val="24"/>
        </w:rPr>
      </w:pPr>
    </w:p>
    <w:p w14:paraId="7F256B72" w14:textId="11212C37" w:rsidR="00A77830" w:rsidRPr="004C2B19" w:rsidRDefault="00A77830"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Los bancos hasta antes de las medidas solo contaban con el 30% de su cartera en el sector productivo (aún no había cartera de vivienda social), después de las medidas los bancos incrementan de manera importante su cartera en el sector productivo </w:t>
      </w:r>
      <w:r w:rsidR="003A6F0B" w:rsidRPr="004C2B19">
        <w:rPr>
          <w:rFonts w:ascii="Times New Roman" w:hAnsi="Times New Roman" w:cs="Times New Roman"/>
          <w:sz w:val="24"/>
        </w:rPr>
        <w:t>además de</w:t>
      </w:r>
      <w:r w:rsidRPr="004C2B19">
        <w:rPr>
          <w:rFonts w:ascii="Times New Roman" w:hAnsi="Times New Roman" w:cs="Times New Roman"/>
          <w:sz w:val="24"/>
        </w:rPr>
        <w:t xml:space="preserve"> desarrollar la cartera de vivienda social, hasta </w:t>
      </w:r>
      <w:r w:rsidR="003A6F0B" w:rsidRPr="004C2B19">
        <w:rPr>
          <w:rFonts w:ascii="Times New Roman" w:hAnsi="Times New Roman" w:cs="Times New Roman"/>
          <w:sz w:val="24"/>
        </w:rPr>
        <w:t>llegar a</w:t>
      </w:r>
      <w:r w:rsidRPr="004C2B19">
        <w:rPr>
          <w:rFonts w:ascii="Times New Roman" w:hAnsi="Times New Roman" w:cs="Times New Roman"/>
          <w:sz w:val="24"/>
        </w:rPr>
        <w:t xml:space="preserve"> sumar juntos estos dos sectores el 57</w:t>
      </w:r>
      <w:r w:rsidR="003A6F0B" w:rsidRPr="004C2B19">
        <w:rPr>
          <w:rFonts w:ascii="Times New Roman" w:hAnsi="Times New Roman" w:cs="Times New Roman"/>
          <w:sz w:val="24"/>
        </w:rPr>
        <w:t>% de</w:t>
      </w:r>
      <w:r w:rsidRPr="004C2B19">
        <w:rPr>
          <w:rFonts w:ascii="Times New Roman" w:hAnsi="Times New Roman" w:cs="Times New Roman"/>
          <w:sz w:val="24"/>
        </w:rPr>
        <w:t xml:space="preserve"> participación en la cartera total (44% productivo y 13% vivienda social). Recordar que como se analizó anteriormente buena parte de este crecimiento de cartera productiva responde </w:t>
      </w:r>
      <w:r w:rsidR="003A6F0B" w:rsidRPr="004C2B19">
        <w:rPr>
          <w:rFonts w:ascii="Times New Roman" w:hAnsi="Times New Roman" w:cs="Times New Roman"/>
          <w:sz w:val="24"/>
        </w:rPr>
        <w:t>a una</w:t>
      </w:r>
      <w:r w:rsidRPr="004C2B19">
        <w:rPr>
          <w:rFonts w:ascii="Times New Roman" w:hAnsi="Times New Roman" w:cs="Times New Roman"/>
          <w:sz w:val="24"/>
        </w:rPr>
        <w:t xml:space="preserve"> reclasificación, generando disminución o estancamiento en la cartera de servicios y comercio para incrementar la cartera productiva.</w:t>
      </w:r>
      <w:r w:rsidR="00F4108B" w:rsidRPr="004C2B19">
        <w:rPr>
          <w:rFonts w:ascii="Times New Roman" w:hAnsi="Times New Roman" w:cs="Times New Roman"/>
          <w:sz w:val="24"/>
        </w:rPr>
        <w:t xml:space="preserve"> (V</w:t>
      </w:r>
      <w:r w:rsidRPr="004C2B19">
        <w:rPr>
          <w:rFonts w:ascii="Times New Roman" w:hAnsi="Times New Roman" w:cs="Times New Roman"/>
          <w:sz w:val="24"/>
        </w:rPr>
        <w:t>er</w:t>
      </w:r>
      <w:r w:rsidR="00F4108B" w:rsidRPr="004C2B19">
        <w:rPr>
          <w:rFonts w:ascii="Times New Roman" w:hAnsi="Times New Roman" w:cs="Times New Roman"/>
          <w:sz w:val="24"/>
        </w:rPr>
        <w:t xml:space="preserve"> 4.2 gráfico </w:t>
      </w:r>
      <w:r w:rsidR="003A6F0B" w:rsidRPr="004C2B19">
        <w:rPr>
          <w:rFonts w:ascii="Times New Roman" w:hAnsi="Times New Roman" w:cs="Times New Roman"/>
          <w:sz w:val="24"/>
        </w:rPr>
        <w:t>2 párrafos</w:t>
      </w:r>
      <w:r w:rsidR="00F4108B" w:rsidRPr="004C2B19">
        <w:rPr>
          <w:rFonts w:ascii="Times New Roman" w:hAnsi="Times New Roman" w:cs="Times New Roman"/>
          <w:sz w:val="24"/>
        </w:rPr>
        <w:t xml:space="preserve"> finales)</w:t>
      </w:r>
    </w:p>
    <w:p w14:paraId="7F256B73" w14:textId="77777777" w:rsidR="00D67A23" w:rsidRPr="00862E8F" w:rsidRDefault="00D67A23" w:rsidP="00D67A23">
      <w:pPr>
        <w:ind w:left="360"/>
        <w:rPr>
          <w:color w:val="A6A6A6" w:themeColor="background1" w:themeShade="A6"/>
        </w:rPr>
      </w:pPr>
      <w:r>
        <w:rPr>
          <w:noProof/>
          <w:lang w:eastAsia="es-BO"/>
        </w:rPr>
        <w:drawing>
          <wp:inline distT="0" distB="0" distL="0" distR="0" wp14:anchorId="7F256BAB" wp14:editId="5D1DD9E5">
            <wp:extent cx="4584568" cy="2400300"/>
            <wp:effectExtent l="0" t="0" r="6985" b="0"/>
            <wp:docPr id="92456182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2">
                      <a:extLst>
                        <a:ext uri="{28A0092B-C50C-407E-A947-70E740481C1C}">
                          <a14:useLocalDpi xmlns:a14="http://schemas.microsoft.com/office/drawing/2010/main" val="0"/>
                        </a:ext>
                      </a:extLst>
                    </a:blip>
                    <a:stretch>
                      <a:fillRect/>
                    </a:stretch>
                  </pic:blipFill>
                  <pic:spPr>
                    <a:xfrm>
                      <a:off x="0" y="0"/>
                      <a:ext cx="4584568" cy="2400300"/>
                    </a:xfrm>
                    <a:prstGeom prst="rect">
                      <a:avLst/>
                    </a:prstGeom>
                  </pic:spPr>
                </pic:pic>
              </a:graphicData>
            </a:graphic>
          </wp:inline>
        </w:drawing>
      </w:r>
    </w:p>
    <w:p w14:paraId="7F256B74" w14:textId="2F68D598" w:rsidR="00D67A23" w:rsidRPr="00A77830" w:rsidRDefault="00862E8F">
      <w:pPr>
        <w:rPr>
          <w:b/>
          <w:i/>
          <w:sz w:val="18"/>
        </w:rPr>
      </w:pPr>
      <w:r>
        <w:t xml:space="preserve">       </w:t>
      </w:r>
      <w:r w:rsidR="001E7DB8">
        <w:t>GARFICO 15</w:t>
      </w:r>
      <w:r w:rsidR="00490D48">
        <w:t xml:space="preserve">: </w:t>
      </w:r>
      <w:r>
        <w:t xml:space="preserve"> </w:t>
      </w:r>
      <w:r w:rsidR="00A77830" w:rsidRPr="00862E8F">
        <w:rPr>
          <w:b/>
          <w:i/>
          <w:color w:val="A6A6A6" w:themeColor="background1" w:themeShade="A6"/>
          <w:sz w:val="18"/>
        </w:rPr>
        <w:t>Fuente ASFI y FINRURAL</w:t>
      </w:r>
      <w:r w:rsidR="008A1EF1" w:rsidRPr="00862E8F">
        <w:rPr>
          <w:b/>
          <w:i/>
          <w:color w:val="A6A6A6" w:themeColor="background1" w:themeShade="A6"/>
          <w:sz w:val="18"/>
        </w:rPr>
        <w:t>. (Elaboración Propia)</w:t>
      </w:r>
    </w:p>
    <w:p w14:paraId="7F256B75" w14:textId="77777777" w:rsidR="00CC5154" w:rsidRDefault="00A77830"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Al contrario de los bancos las IFDs, con las medidas tienden a disminuir su cartera productiva, debido a sus limitaciones para poder cumplir con las tasas</w:t>
      </w:r>
      <w:r w:rsidR="00F4108B" w:rsidRPr="004C2B19">
        <w:rPr>
          <w:rFonts w:ascii="Times New Roman" w:hAnsi="Times New Roman" w:cs="Times New Roman"/>
          <w:sz w:val="24"/>
        </w:rPr>
        <w:t xml:space="preserve"> reguladas.</w:t>
      </w:r>
      <w:r w:rsidRPr="004C2B19">
        <w:rPr>
          <w:rFonts w:ascii="Times New Roman" w:hAnsi="Times New Roman" w:cs="Times New Roman"/>
          <w:sz w:val="24"/>
        </w:rPr>
        <w:t xml:space="preserve"> (</w:t>
      </w:r>
      <w:r w:rsidR="00F4108B" w:rsidRPr="004C2B19">
        <w:rPr>
          <w:rFonts w:ascii="Times New Roman" w:hAnsi="Times New Roman" w:cs="Times New Roman"/>
          <w:sz w:val="24"/>
        </w:rPr>
        <w:t>ver 4.1 grafica 3 párrafos finales</w:t>
      </w:r>
      <w:r w:rsidRPr="004C2B19">
        <w:rPr>
          <w:rFonts w:ascii="Times New Roman" w:hAnsi="Times New Roman" w:cs="Times New Roman"/>
          <w:sz w:val="24"/>
        </w:rPr>
        <w:t>).</w:t>
      </w:r>
    </w:p>
    <w:p w14:paraId="675FC6ED" w14:textId="77777777" w:rsidR="000969C0" w:rsidRDefault="000969C0" w:rsidP="004C2B19">
      <w:pPr>
        <w:spacing w:after="0" w:line="360" w:lineRule="auto"/>
        <w:jc w:val="both"/>
        <w:rPr>
          <w:rFonts w:ascii="Times New Roman" w:hAnsi="Times New Roman" w:cs="Times New Roman"/>
          <w:sz w:val="24"/>
        </w:rPr>
      </w:pPr>
    </w:p>
    <w:p w14:paraId="605F5F1E" w14:textId="77777777" w:rsidR="000969C0" w:rsidRPr="004C2B19" w:rsidRDefault="000969C0" w:rsidP="004C2B19">
      <w:pPr>
        <w:spacing w:after="0" w:line="360" w:lineRule="auto"/>
        <w:jc w:val="both"/>
        <w:rPr>
          <w:rFonts w:ascii="Times New Roman" w:hAnsi="Times New Roman" w:cs="Times New Roman"/>
          <w:sz w:val="24"/>
        </w:rPr>
      </w:pPr>
    </w:p>
    <w:p w14:paraId="7F256B76" w14:textId="77777777" w:rsidR="002318BA" w:rsidRPr="004C2B19" w:rsidRDefault="002318BA" w:rsidP="004C2B19">
      <w:pPr>
        <w:spacing w:after="0" w:line="360" w:lineRule="auto"/>
        <w:jc w:val="both"/>
        <w:rPr>
          <w:rFonts w:ascii="Times New Roman" w:hAnsi="Times New Roman" w:cs="Times New Roman"/>
          <w:sz w:val="24"/>
        </w:rPr>
      </w:pPr>
    </w:p>
    <w:p w14:paraId="7F256B77" w14:textId="77777777" w:rsidR="00EA436E" w:rsidRPr="004C2B19" w:rsidRDefault="00EA436E" w:rsidP="004C2B19">
      <w:pPr>
        <w:pStyle w:val="Prrafodelista"/>
        <w:numPr>
          <w:ilvl w:val="0"/>
          <w:numId w:val="8"/>
        </w:numPr>
        <w:spacing w:after="0" w:line="360" w:lineRule="auto"/>
        <w:rPr>
          <w:rFonts w:ascii="Times New Roman" w:hAnsi="Times New Roman" w:cs="Times New Roman"/>
          <w:b/>
          <w:sz w:val="24"/>
        </w:rPr>
      </w:pPr>
      <w:r w:rsidRPr="004C2B19">
        <w:rPr>
          <w:rFonts w:ascii="Times New Roman" w:hAnsi="Times New Roman" w:cs="Times New Roman"/>
          <w:b/>
          <w:sz w:val="24"/>
        </w:rPr>
        <w:t>Conclusiones</w:t>
      </w:r>
    </w:p>
    <w:p w14:paraId="7F256B78" w14:textId="7162ACF7" w:rsidR="00EA436E" w:rsidRPr="004C2B19" w:rsidRDefault="00C9715F" w:rsidP="004C2B19">
      <w:pPr>
        <w:spacing w:after="0" w:line="360" w:lineRule="auto"/>
        <w:jc w:val="both"/>
        <w:rPr>
          <w:rFonts w:ascii="Times New Roman" w:hAnsi="Times New Roman" w:cs="Times New Roman"/>
          <w:sz w:val="24"/>
        </w:rPr>
      </w:pPr>
      <w:r w:rsidRPr="004C2B19">
        <w:rPr>
          <w:rFonts w:ascii="Times New Roman" w:hAnsi="Times New Roman" w:cs="Times New Roman"/>
          <w:sz w:val="24"/>
        </w:rPr>
        <w:t>A manera de conclusiones tratare</w:t>
      </w:r>
      <w:r w:rsidR="00F345E5" w:rsidRPr="004C2B19">
        <w:rPr>
          <w:rFonts w:ascii="Times New Roman" w:hAnsi="Times New Roman" w:cs="Times New Roman"/>
          <w:sz w:val="24"/>
        </w:rPr>
        <w:t>m</w:t>
      </w:r>
      <w:r w:rsidRPr="004C2B19">
        <w:rPr>
          <w:rFonts w:ascii="Times New Roman" w:hAnsi="Times New Roman" w:cs="Times New Roman"/>
          <w:sz w:val="24"/>
        </w:rPr>
        <w:t>os a continuación de</w:t>
      </w:r>
      <w:r w:rsidR="002A46BC" w:rsidRPr="004C2B19">
        <w:rPr>
          <w:rFonts w:ascii="Times New Roman" w:hAnsi="Times New Roman" w:cs="Times New Roman"/>
          <w:sz w:val="24"/>
        </w:rPr>
        <w:t xml:space="preserve"> dar respuesta a </w:t>
      </w:r>
      <w:r w:rsidR="007E2070" w:rsidRPr="004C2B19">
        <w:rPr>
          <w:rFonts w:ascii="Times New Roman" w:hAnsi="Times New Roman" w:cs="Times New Roman"/>
          <w:sz w:val="24"/>
        </w:rPr>
        <w:t xml:space="preserve">la pregunta de investigación planteada, </w:t>
      </w:r>
      <w:r w:rsidR="002A46BC" w:rsidRPr="004C2B19">
        <w:rPr>
          <w:rFonts w:ascii="Times New Roman" w:hAnsi="Times New Roman" w:cs="Times New Roman"/>
          <w:sz w:val="24"/>
        </w:rPr>
        <w:t xml:space="preserve">articulando los resultados evidentes de la aplicación de las medidas (corto plazo) con nuestros criterios de las implicaciones que las mismas pueden tener </w:t>
      </w:r>
      <w:r w:rsidR="003A6F0B" w:rsidRPr="004C2B19">
        <w:rPr>
          <w:rFonts w:ascii="Times New Roman" w:hAnsi="Times New Roman" w:cs="Times New Roman"/>
          <w:sz w:val="24"/>
        </w:rPr>
        <w:t>en el</w:t>
      </w:r>
      <w:r w:rsidR="002A46BC" w:rsidRPr="004C2B19">
        <w:rPr>
          <w:rFonts w:ascii="Times New Roman" w:hAnsi="Times New Roman" w:cs="Times New Roman"/>
          <w:sz w:val="24"/>
        </w:rPr>
        <w:t xml:space="preserve"> mediano y largo plazo.</w:t>
      </w:r>
    </w:p>
    <w:p w14:paraId="7F256B79" w14:textId="77777777" w:rsidR="002A46BC" w:rsidRPr="004C2B19" w:rsidRDefault="00D066DA"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Pasados más de 3 años</w:t>
      </w:r>
      <w:r w:rsidR="004519E8" w:rsidRPr="004C2B19">
        <w:rPr>
          <w:rFonts w:ascii="Times New Roman" w:hAnsi="Times New Roman" w:cs="Times New Roman"/>
          <w:sz w:val="24"/>
        </w:rPr>
        <w:t xml:space="preserve"> de</w:t>
      </w:r>
      <w:r w:rsidRPr="004C2B19">
        <w:rPr>
          <w:rFonts w:ascii="Times New Roman" w:hAnsi="Times New Roman" w:cs="Times New Roman"/>
          <w:sz w:val="24"/>
        </w:rPr>
        <w:t xml:space="preserve"> la</w:t>
      </w:r>
      <w:r w:rsidR="004519E8" w:rsidRPr="004C2B19">
        <w:rPr>
          <w:rFonts w:ascii="Times New Roman" w:hAnsi="Times New Roman" w:cs="Times New Roman"/>
          <w:sz w:val="24"/>
        </w:rPr>
        <w:t xml:space="preserve"> aplicación de las medidas podemos concluir que las </w:t>
      </w:r>
      <w:r w:rsidR="004519E8" w:rsidRPr="004C2B19">
        <w:rPr>
          <w:rFonts w:ascii="Times New Roman" w:hAnsi="Times New Roman" w:cs="Times New Roman"/>
          <w:b/>
          <w:sz w:val="24"/>
        </w:rPr>
        <w:t>mismas no contribuyen al objetivo de la ley de servicios financieros de facilitar el acceso universal a los servicios financieros</w:t>
      </w:r>
      <w:r w:rsidR="004519E8" w:rsidRPr="004C2B19">
        <w:rPr>
          <w:rFonts w:ascii="Times New Roman" w:hAnsi="Times New Roman" w:cs="Times New Roman"/>
          <w:sz w:val="24"/>
        </w:rPr>
        <w:t>, debido a que:</w:t>
      </w:r>
    </w:p>
    <w:p w14:paraId="7F256B7A" w14:textId="77777777" w:rsidR="00D066DA" w:rsidRPr="004C2B19" w:rsidRDefault="00D066DA" w:rsidP="004C2B19">
      <w:pPr>
        <w:pStyle w:val="Prrafodelista"/>
        <w:spacing w:after="0" w:line="360" w:lineRule="auto"/>
        <w:ind w:left="1440"/>
        <w:jc w:val="both"/>
        <w:rPr>
          <w:rFonts w:ascii="Times New Roman" w:hAnsi="Times New Roman" w:cs="Times New Roman"/>
          <w:sz w:val="24"/>
        </w:rPr>
      </w:pPr>
    </w:p>
    <w:p w14:paraId="7F256B7B" w14:textId="1B964D55" w:rsidR="004519E8" w:rsidRPr="004C2B19" w:rsidRDefault="00D74F4D" w:rsidP="004C2B19">
      <w:pPr>
        <w:pStyle w:val="Prrafodelista"/>
        <w:numPr>
          <w:ilvl w:val="0"/>
          <w:numId w:val="16"/>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Para compensar la reducción de márgenes (mayor tasa pasiva y menor tasa activa) las instituciones están evadiendo a los prestatarios más costosos (de zonas </w:t>
      </w:r>
      <w:r w:rsidR="003A6F0B" w:rsidRPr="004C2B19">
        <w:rPr>
          <w:rFonts w:ascii="Times New Roman" w:hAnsi="Times New Roman" w:cs="Times New Roman"/>
          <w:sz w:val="24"/>
        </w:rPr>
        <w:t>marginales y</w:t>
      </w:r>
      <w:r w:rsidRPr="004C2B19">
        <w:rPr>
          <w:rFonts w:ascii="Times New Roman" w:hAnsi="Times New Roman" w:cs="Times New Roman"/>
          <w:sz w:val="24"/>
        </w:rPr>
        <w:t xml:space="preserve"> rurales alejadas, que solicitan montos pequeños, que son más riesgos). La tasa promedio de crecimiento del número de prestatarios después de las medidas es negativa (-6.43%), en mayor proporción a la</w:t>
      </w:r>
      <w:r w:rsidR="0073188A" w:rsidRPr="004C2B19">
        <w:rPr>
          <w:rFonts w:ascii="Times New Roman" w:hAnsi="Times New Roman" w:cs="Times New Roman"/>
          <w:sz w:val="24"/>
        </w:rPr>
        <w:t xml:space="preserve"> de la cartera de créditos (</w:t>
      </w:r>
      <w:r w:rsidR="00F8057C" w:rsidRPr="004C2B19">
        <w:rPr>
          <w:rFonts w:ascii="Times New Roman" w:hAnsi="Times New Roman" w:cs="Times New Roman"/>
          <w:sz w:val="24"/>
        </w:rPr>
        <w:t>-</w:t>
      </w:r>
      <w:r w:rsidR="0073188A" w:rsidRPr="004C2B19">
        <w:rPr>
          <w:rFonts w:ascii="Times New Roman" w:hAnsi="Times New Roman" w:cs="Times New Roman"/>
          <w:sz w:val="24"/>
        </w:rPr>
        <w:t>4.8</w:t>
      </w:r>
      <w:r w:rsidRPr="004C2B19">
        <w:rPr>
          <w:rFonts w:ascii="Times New Roman" w:hAnsi="Times New Roman" w:cs="Times New Roman"/>
          <w:sz w:val="24"/>
        </w:rPr>
        <w:t>3%)</w:t>
      </w:r>
      <w:r w:rsidR="00D066DA" w:rsidRPr="004C2B19">
        <w:rPr>
          <w:rFonts w:ascii="Times New Roman" w:hAnsi="Times New Roman" w:cs="Times New Roman"/>
          <w:sz w:val="24"/>
        </w:rPr>
        <w:t>, lo que comprueba esta afirmación</w:t>
      </w:r>
      <w:r w:rsidRPr="004C2B19">
        <w:rPr>
          <w:rFonts w:ascii="Times New Roman" w:hAnsi="Times New Roman" w:cs="Times New Roman"/>
          <w:sz w:val="24"/>
        </w:rPr>
        <w:t>.</w:t>
      </w:r>
    </w:p>
    <w:p w14:paraId="7F256B7C" w14:textId="77777777" w:rsidR="00D066DA" w:rsidRPr="004C2B19" w:rsidRDefault="00D066DA" w:rsidP="004C2B19">
      <w:pPr>
        <w:pStyle w:val="Prrafodelista"/>
        <w:spacing w:after="0" w:line="360" w:lineRule="auto"/>
        <w:ind w:left="1800"/>
        <w:jc w:val="both"/>
        <w:rPr>
          <w:rFonts w:ascii="Times New Roman" w:hAnsi="Times New Roman" w:cs="Times New Roman"/>
          <w:sz w:val="24"/>
        </w:rPr>
      </w:pPr>
    </w:p>
    <w:p w14:paraId="7F256B7D" w14:textId="7D6B283C" w:rsidR="00D74F4D" w:rsidRPr="004C2B19" w:rsidRDefault="00D74F4D" w:rsidP="004C2B19">
      <w:pPr>
        <w:pStyle w:val="Prrafodelista"/>
        <w:numPr>
          <w:ilvl w:val="0"/>
          <w:numId w:val="16"/>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Las instituciones están racionalizando </w:t>
      </w:r>
      <w:r w:rsidR="008A1EF1" w:rsidRPr="004C2B19">
        <w:rPr>
          <w:rFonts w:ascii="Times New Roman" w:hAnsi="Times New Roman" w:cs="Times New Roman"/>
          <w:sz w:val="24"/>
        </w:rPr>
        <w:t>su</w:t>
      </w:r>
      <w:r w:rsidRPr="004C2B19">
        <w:rPr>
          <w:rFonts w:ascii="Times New Roman" w:hAnsi="Times New Roman" w:cs="Times New Roman"/>
          <w:sz w:val="24"/>
        </w:rPr>
        <w:t xml:space="preserve"> presencia en zonas marginales y rurales alejadas </w:t>
      </w:r>
      <w:r w:rsidR="0073188A" w:rsidRPr="004C2B19">
        <w:rPr>
          <w:rFonts w:ascii="Times New Roman" w:hAnsi="Times New Roman" w:cs="Times New Roman"/>
          <w:sz w:val="24"/>
        </w:rPr>
        <w:t xml:space="preserve">en las que el promedio de crédito es bajo, esto a la vez les permite ahorrar en personal. </w:t>
      </w:r>
      <w:r w:rsidR="003A6F0B" w:rsidRPr="004C2B19">
        <w:rPr>
          <w:rFonts w:ascii="Times New Roman" w:hAnsi="Times New Roman" w:cs="Times New Roman"/>
          <w:sz w:val="24"/>
        </w:rPr>
        <w:t>Las tasas de crecimiento medio de estas dos variables después de las medidas son</w:t>
      </w:r>
      <w:r w:rsidR="0073188A" w:rsidRPr="004C2B19">
        <w:rPr>
          <w:rFonts w:ascii="Times New Roman" w:hAnsi="Times New Roman" w:cs="Times New Roman"/>
          <w:sz w:val="24"/>
        </w:rPr>
        <w:t xml:space="preserve"> </w:t>
      </w:r>
      <w:r w:rsidR="003A6F0B" w:rsidRPr="004C2B19">
        <w:rPr>
          <w:rFonts w:ascii="Times New Roman" w:hAnsi="Times New Roman" w:cs="Times New Roman"/>
          <w:sz w:val="24"/>
        </w:rPr>
        <w:t>de -</w:t>
      </w:r>
      <w:r w:rsidR="0073188A" w:rsidRPr="004C2B19">
        <w:rPr>
          <w:rFonts w:ascii="Times New Roman" w:hAnsi="Times New Roman" w:cs="Times New Roman"/>
          <w:sz w:val="24"/>
        </w:rPr>
        <w:t>6.23% y -7.41% respectivamente.</w:t>
      </w:r>
    </w:p>
    <w:p w14:paraId="7F256B7E" w14:textId="77777777" w:rsidR="00D066DA" w:rsidRPr="004C2B19" w:rsidRDefault="00D066DA" w:rsidP="004C2B19">
      <w:pPr>
        <w:pStyle w:val="Prrafodelista"/>
        <w:spacing w:after="0" w:line="360" w:lineRule="auto"/>
        <w:ind w:left="1800"/>
        <w:jc w:val="both"/>
        <w:rPr>
          <w:rFonts w:ascii="Times New Roman" w:hAnsi="Times New Roman" w:cs="Times New Roman"/>
          <w:sz w:val="24"/>
        </w:rPr>
      </w:pPr>
    </w:p>
    <w:p w14:paraId="7F256B7F" w14:textId="77777777" w:rsidR="0073188A" w:rsidRPr="004C2B19" w:rsidRDefault="0073188A" w:rsidP="004C2B19">
      <w:pPr>
        <w:pStyle w:val="Prrafodelista"/>
        <w:numPr>
          <w:ilvl w:val="0"/>
          <w:numId w:val="16"/>
        </w:numPr>
        <w:spacing w:after="0" w:line="360" w:lineRule="auto"/>
        <w:jc w:val="both"/>
        <w:rPr>
          <w:rFonts w:ascii="Times New Roman" w:hAnsi="Times New Roman" w:cs="Times New Roman"/>
          <w:sz w:val="24"/>
        </w:rPr>
      </w:pPr>
      <w:r w:rsidRPr="004C2B19">
        <w:rPr>
          <w:rFonts w:ascii="Times New Roman" w:hAnsi="Times New Roman" w:cs="Times New Roman"/>
          <w:sz w:val="24"/>
        </w:rPr>
        <w:t>Por las tendencias que podemos ver en el corto plazo de aplicación de estas medidas</w:t>
      </w:r>
      <w:r w:rsidR="00F8057C" w:rsidRPr="004C2B19">
        <w:rPr>
          <w:rFonts w:ascii="Times New Roman" w:hAnsi="Times New Roman" w:cs="Times New Roman"/>
          <w:sz w:val="24"/>
        </w:rPr>
        <w:t xml:space="preserve"> los bancos aumentan su participación en detrimento de los demás tipos de instituciones</w:t>
      </w:r>
      <w:r w:rsidRPr="004C2B19">
        <w:rPr>
          <w:rFonts w:ascii="Times New Roman" w:hAnsi="Times New Roman" w:cs="Times New Roman"/>
          <w:sz w:val="24"/>
        </w:rPr>
        <w:t xml:space="preserve">, de no ajustarse las </w:t>
      </w:r>
      <w:r w:rsidR="00F8057C" w:rsidRPr="004C2B19">
        <w:rPr>
          <w:rFonts w:ascii="Times New Roman" w:hAnsi="Times New Roman" w:cs="Times New Roman"/>
          <w:sz w:val="24"/>
        </w:rPr>
        <w:t>medidas</w:t>
      </w:r>
      <w:r w:rsidRPr="004C2B19">
        <w:rPr>
          <w:rFonts w:ascii="Times New Roman" w:hAnsi="Times New Roman" w:cs="Times New Roman"/>
          <w:sz w:val="24"/>
        </w:rPr>
        <w:t xml:space="preserve"> en el mediano plazo tendremos un sistema financiero con una cartera de créditos demasiado concentrada en los bancos</w:t>
      </w:r>
      <w:r w:rsidR="00F8057C" w:rsidRPr="004C2B19">
        <w:rPr>
          <w:rFonts w:ascii="Times New Roman" w:hAnsi="Times New Roman" w:cs="Times New Roman"/>
          <w:sz w:val="24"/>
        </w:rPr>
        <w:t xml:space="preserve"> con IFDs e IFVs en vías de extinción y con cooperativas muy debilitadas; mientras que </w:t>
      </w:r>
      <w:r w:rsidRPr="004C2B19">
        <w:rPr>
          <w:rFonts w:ascii="Times New Roman" w:hAnsi="Times New Roman" w:cs="Times New Roman"/>
          <w:sz w:val="24"/>
        </w:rPr>
        <w:t>en el largo plazo un sistema financiero con un solo tipo de oferente BANCO MULTIPLE</w:t>
      </w:r>
      <w:r w:rsidR="00F8057C" w:rsidRPr="004C2B19">
        <w:rPr>
          <w:rFonts w:ascii="Times New Roman" w:hAnsi="Times New Roman" w:cs="Times New Roman"/>
          <w:sz w:val="24"/>
        </w:rPr>
        <w:t>, que no llega a áreas marginales y rurales excluyendo  de los servicios financieros a la base de la pirámide o a los prestatarios más pobres.</w:t>
      </w:r>
    </w:p>
    <w:p w14:paraId="7F256B80" w14:textId="77777777" w:rsidR="00F8057C" w:rsidRPr="004C2B19" w:rsidRDefault="00F8057C" w:rsidP="004C2B19">
      <w:pPr>
        <w:pStyle w:val="Prrafodelista"/>
        <w:spacing w:after="0" w:line="360" w:lineRule="auto"/>
        <w:ind w:left="1800"/>
        <w:jc w:val="both"/>
        <w:rPr>
          <w:rFonts w:ascii="Times New Roman" w:hAnsi="Times New Roman" w:cs="Times New Roman"/>
          <w:sz w:val="24"/>
        </w:rPr>
      </w:pPr>
    </w:p>
    <w:p w14:paraId="7F256B81" w14:textId="526AF73A" w:rsidR="00F8057C" w:rsidRPr="004C2B19" w:rsidRDefault="00F8057C" w:rsidP="004C2B19">
      <w:pPr>
        <w:pStyle w:val="Prrafodelista"/>
        <w:spacing w:after="0" w:line="360" w:lineRule="auto"/>
        <w:ind w:left="1800"/>
        <w:jc w:val="both"/>
        <w:rPr>
          <w:rFonts w:ascii="Times New Roman" w:hAnsi="Times New Roman" w:cs="Times New Roman"/>
          <w:sz w:val="24"/>
        </w:rPr>
      </w:pPr>
      <w:r w:rsidRPr="004C2B19">
        <w:rPr>
          <w:rFonts w:ascii="Times New Roman" w:hAnsi="Times New Roman" w:cs="Times New Roman"/>
          <w:sz w:val="24"/>
        </w:rPr>
        <w:t xml:space="preserve">Esto último a la vez generara un incremento de la oferta informal, es decir, ilegal </w:t>
      </w:r>
      <w:r w:rsidR="00D066DA" w:rsidRPr="004C2B19">
        <w:rPr>
          <w:rFonts w:ascii="Times New Roman" w:hAnsi="Times New Roman" w:cs="Times New Roman"/>
          <w:sz w:val="24"/>
        </w:rPr>
        <w:t xml:space="preserve">(según la ley 393) </w:t>
      </w:r>
      <w:r w:rsidRPr="004C2B19">
        <w:rPr>
          <w:rFonts w:ascii="Times New Roman" w:hAnsi="Times New Roman" w:cs="Times New Roman"/>
          <w:sz w:val="24"/>
        </w:rPr>
        <w:t>de prestamistas particulares usureros</w:t>
      </w:r>
      <w:r w:rsidR="00D066DA" w:rsidRPr="004C2B19">
        <w:rPr>
          <w:rFonts w:ascii="Times New Roman" w:hAnsi="Times New Roman" w:cs="Times New Roman"/>
          <w:sz w:val="24"/>
        </w:rPr>
        <w:t xml:space="preserve">, como ya está ocurriendo actualmente, regresándonos en el tiempo a la década del 90 en la que surgieron </w:t>
      </w:r>
      <w:r w:rsidR="003A6F0B" w:rsidRPr="004C2B19">
        <w:rPr>
          <w:rFonts w:ascii="Times New Roman" w:hAnsi="Times New Roman" w:cs="Times New Roman"/>
          <w:sz w:val="24"/>
        </w:rPr>
        <w:t>las microfinanzas</w:t>
      </w:r>
      <w:r w:rsidR="00D066DA" w:rsidRPr="004C2B19">
        <w:rPr>
          <w:rFonts w:ascii="Times New Roman" w:hAnsi="Times New Roman" w:cs="Times New Roman"/>
          <w:sz w:val="24"/>
        </w:rPr>
        <w:t xml:space="preserve"> para atender a micronegocios excluidos en ese entonces por el sistema financiero formal (bancos) y </w:t>
      </w:r>
      <w:r w:rsidR="00F63380" w:rsidRPr="004C2B19">
        <w:rPr>
          <w:rFonts w:ascii="Times New Roman" w:hAnsi="Times New Roman" w:cs="Times New Roman"/>
          <w:sz w:val="24"/>
        </w:rPr>
        <w:t>desplazar o eliminar los</w:t>
      </w:r>
      <w:r w:rsidR="00D066DA" w:rsidRPr="004C2B19">
        <w:rPr>
          <w:rFonts w:ascii="Times New Roman" w:hAnsi="Times New Roman" w:cs="Times New Roman"/>
          <w:sz w:val="24"/>
        </w:rPr>
        <w:t xml:space="preserve"> prestamistas particulares ¨USUREROS¨</w:t>
      </w:r>
      <w:r w:rsidRPr="004C2B19">
        <w:rPr>
          <w:rFonts w:ascii="Times New Roman" w:hAnsi="Times New Roman" w:cs="Times New Roman"/>
          <w:sz w:val="24"/>
        </w:rPr>
        <w:t>.</w:t>
      </w:r>
      <w:r w:rsidR="00F63380" w:rsidRPr="004C2B19">
        <w:rPr>
          <w:rFonts w:ascii="Times New Roman" w:hAnsi="Times New Roman" w:cs="Times New Roman"/>
          <w:sz w:val="24"/>
        </w:rPr>
        <w:t xml:space="preserve"> Este es un ejemplo de que la excesiva regulación puede traer consigo mayor informalidad buscando evadirla.</w:t>
      </w:r>
    </w:p>
    <w:p w14:paraId="7F256B82"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p>
    <w:p w14:paraId="7F256B83"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r w:rsidRPr="004C2B19">
        <w:rPr>
          <w:rFonts w:ascii="Times New Roman" w:hAnsi="Times New Roman" w:cs="Times New Roman"/>
          <w:sz w:val="24"/>
        </w:rPr>
        <w:t>En cuanto a la sostenibilidad de los servicios financieros está claro que está disminuyendo la rentabilidad de las instituciones financieras, la media  después de las medidas  (-7.17%), pero, fundamentalmente está en riesgo la sostenibilidad de los servicios financieros en áreas rurales alejadas de baja concentración poblacional, ya que las instituciones que las atienden IFDs fundamentalmente, no pueden cubrir sus costos con las actuales condiciones de tasa y corren el riesgo de desaparecer en el largo plazo  o ser absorbidas  por  los bancos. Esto tenderá a reducir la presencia de los servicios financieros en áreas rurales alejadas y periurbanas</w:t>
      </w:r>
    </w:p>
    <w:p w14:paraId="7F256B84"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p>
    <w:p w14:paraId="7F256B85" w14:textId="53B8AE66" w:rsidR="00BA7FF6" w:rsidRPr="004C2B19" w:rsidRDefault="00D066DA"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Las ganancias de los bancos ya están siendo afectadas por estas medidas como se resume en el párrafo anterior, pero, esta tendencia será mayor hacia adelanta, ya que si los costos suben (tasas pasivas) y los precios bajan (Tasas activas), lógicamente los márgenes de ganancia disminuye</w:t>
      </w:r>
      <w:r w:rsidR="00F63380" w:rsidRPr="004C2B19">
        <w:rPr>
          <w:rFonts w:ascii="Times New Roman" w:hAnsi="Times New Roman" w:cs="Times New Roman"/>
          <w:sz w:val="24"/>
        </w:rPr>
        <w:t>n</w:t>
      </w:r>
      <w:r w:rsidRPr="004C2B19">
        <w:rPr>
          <w:rFonts w:ascii="Times New Roman" w:hAnsi="Times New Roman" w:cs="Times New Roman"/>
          <w:sz w:val="24"/>
        </w:rPr>
        <w:t>. A no ser que los bancos evadan la regulación y comiencen a reducir pa</w:t>
      </w:r>
      <w:r w:rsidR="00F63380" w:rsidRPr="004C2B19">
        <w:rPr>
          <w:rFonts w:ascii="Times New Roman" w:hAnsi="Times New Roman" w:cs="Times New Roman"/>
          <w:sz w:val="24"/>
        </w:rPr>
        <w:t>u</w:t>
      </w:r>
      <w:r w:rsidRPr="004C2B19">
        <w:rPr>
          <w:rFonts w:ascii="Times New Roman" w:hAnsi="Times New Roman" w:cs="Times New Roman"/>
          <w:sz w:val="24"/>
        </w:rPr>
        <w:t xml:space="preserve">latinamente sus carteras de manera proporcional (manteniendo los cupos de cartera para cumplir </w:t>
      </w:r>
      <w:r w:rsidR="003A6F0B" w:rsidRPr="004C2B19">
        <w:rPr>
          <w:rFonts w:ascii="Times New Roman" w:hAnsi="Times New Roman" w:cs="Times New Roman"/>
          <w:sz w:val="24"/>
        </w:rPr>
        <w:t>la ley</w:t>
      </w:r>
      <w:r w:rsidRPr="004C2B19">
        <w:rPr>
          <w:rFonts w:ascii="Times New Roman" w:hAnsi="Times New Roman" w:cs="Times New Roman"/>
          <w:sz w:val="24"/>
        </w:rPr>
        <w:t xml:space="preserve">), para destinar su liquidez a </w:t>
      </w:r>
      <w:r w:rsidR="003A6F0B" w:rsidRPr="004C2B19">
        <w:rPr>
          <w:rFonts w:ascii="Times New Roman" w:hAnsi="Times New Roman" w:cs="Times New Roman"/>
          <w:sz w:val="24"/>
        </w:rPr>
        <w:t>otros negocios</w:t>
      </w:r>
      <w:r w:rsidRPr="004C2B19">
        <w:rPr>
          <w:rFonts w:ascii="Times New Roman" w:hAnsi="Times New Roman" w:cs="Times New Roman"/>
          <w:sz w:val="24"/>
        </w:rPr>
        <w:t xml:space="preserve"> (inversiones temporarias), que pueden ser más rentables y de menor riesgo.</w:t>
      </w:r>
    </w:p>
    <w:p w14:paraId="7F256B86" w14:textId="77777777" w:rsidR="00F63380" w:rsidRPr="004C2B19" w:rsidRDefault="00F63380" w:rsidP="004C2B19">
      <w:pPr>
        <w:pStyle w:val="Prrafodelista"/>
        <w:spacing w:after="0" w:line="360" w:lineRule="auto"/>
        <w:ind w:left="1440"/>
        <w:jc w:val="both"/>
        <w:rPr>
          <w:rFonts w:ascii="Times New Roman" w:hAnsi="Times New Roman" w:cs="Times New Roman"/>
          <w:sz w:val="24"/>
        </w:rPr>
      </w:pPr>
    </w:p>
    <w:p w14:paraId="7F256B87" w14:textId="77777777" w:rsidR="00127939" w:rsidRPr="004C2B19" w:rsidRDefault="00127939"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Las medidas están siendo inefectivas para incrementar los depósitos, las tasas de crecimiento después de las medidas son menores a las anteriores (-6.83%), los ahorristas no demuestran sensibilidad al incremento en las tasas pasivas</w:t>
      </w:r>
      <w:r w:rsidR="00BA7FF6" w:rsidRPr="004C2B19">
        <w:rPr>
          <w:rFonts w:ascii="Times New Roman" w:hAnsi="Times New Roman" w:cs="Times New Roman"/>
          <w:sz w:val="24"/>
        </w:rPr>
        <w:t xml:space="preserve"> o las mismas aun no son lo suficientemente atractivas como para cambiar la tendencia de crecimiento de los ahorros</w:t>
      </w:r>
      <w:r w:rsidRPr="004C2B19">
        <w:rPr>
          <w:rFonts w:ascii="Times New Roman" w:hAnsi="Times New Roman" w:cs="Times New Roman"/>
          <w:sz w:val="24"/>
        </w:rPr>
        <w:t>.</w:t>
      </w:r>
    </w:p>
    <w:p w14:paraId="7F256B88"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p>
    <w:p w14:paraId="7F256B89" w14:textId="77777777" w:rsidR="00127939" w:rsidRPr="004C2B19" w:rsidRDefault="00127939"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Las medidas hasta ahora han demostrado ser efectivas en incrementar la cartera de créditos de vivienda, cuyas tasa de crecimiento son  en promedio 2.83% mayores después de las mismas, en el mediano y largo plazo, dado que como analizamos los bancos a fin de año cumplirán </w:t>
      </w:r>
      <w:r w:rsidR="00D36B60" w:rsidRPr="004C2B19">
        <w:rPr>
          <w:rFonts w:ascii="Times New Roman" w:hAnsi="Times New Roman" w:cs="Times New Roman"/>
          <w:sz w:val="24"/>
        </w:rPr>
        <w:t>con los cupos de cartera, las tasas de crecimiento volverán al ritmo anterior a las medidas  e incluso estarán ligeramente por debajo, la cartera de vivienda social frenará su aceleración y emparejará su ritmo de crecimiento a la de la vivienda trad</w:t>
      </w:r>
      <w:r w:rsidR="00913A68" w:rsidRPr="004C2B19">
        <w:rPr>
          <w:rFonts w:ascii="Times New Roman" w:hAnsi="Times New Roman" w:cs="Times New Roman"/>
          <w:sz w:val="24"/>
        </w:rPr>
        <w:t>icional</w:t>
      </w:r>
      <w:r w:rsidR="00D36B60" w:rsidRPr="004C2B19">
        <w:rPr>
          <w:rFonts w:ascii="Times New Roman" w:hAnsi="Times New Roman" w:cs="Times New Roman"/>
          <w:sz w:val="24"/>
        </w:rPr>
        <w:t>, ya que los bancos empezarán a filtrar a prestatarios de los montos menores ya qu</w:t>
      </w:r>
      <w:r w:rsidR="00BA7FF6" w:rsidRPr="004C2B19">
        <w:rPr>
          <w:rFonts w:ascii="Times New Roman" w:hAnsi="Times New Roman" w:cs="Times New Roman"/>
          <w:sz w:val="24"/>
        </w:rPr>
        <w:t>e les deben cobrar tasa más bajas</w:t>
      </w:r>
      <w:r w:rsidR="00D36B60" w:rsidRPr="004C2B19">
        <w:rPr>
          <w:rFonts w:ascii="Times New Roman" w:hAnsi="Times New Roman" w:cs="Times New Roman"/>
          <w:sz w:val="24"/>
        </w:rPr>
        <w:t>, lo que es contrario a la lógica de los negocios (a mayor cantidad menor precio o a mayor monto menor tasa).</w:t>
      </w:r>
      <w:r w:rsidR="00BA7FF6" w:rsidRPr="004C2B19">
        <w:rPr>
          <w:rFonts w:ascii="Times New Roman" w:hAnsi="Times New Roman" w:cs="Times New Roman"/>
          <w:sz w:val="24"/>
        </w:rPr>
        <w:t xml:space="preserve"> Otra razón para que ocurra esto es que las tasas de vivienda social son operaciones de largo plazo a tasas fijas, lo que como ya vimos incrementa el riesgo de mercado de los bancos.</w:t>
      </w:r>
    </w:p>
    <w:p w14:paraId="7F256B8A"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p>
    <w:p w14:paraId="7F256B8B" w14:textId="15FBA9CB" w:rsidR="00D36B60" w:rsidRPr="004C2B19" w:rsidRDefault="00D36B60"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 xml:space="preserve">Los decretos de regulación también demuestran </w:t>
      </w:r>
      <w:r w:rsidR="00BA7FF6" w:rsidRPr="004C2B19">
        <w:rPr>
          <w:rFonts w:ascii="Times New Roman" w:hAnsi="Times New Roman" w:cs="Times New Roman"/>
          <w:sz w:val="24"/>
        </w:rPr>
        <w:t xml:space="preserve">una gran </w:t>
      </w:r>
      <w:r w:rsidRPr="004C2B19">
        <w:rPr>
          <w:rFonts w:ascii="Times New Roman" w:hAnsi="Times New Roman" w:cs="Times New Roman"/>
          <w:sz w:val="24"/>
        </w:rPr>
        <w:t xml:space="preserve">efectividad </w:t>
      </w:r>
      <w:r w:rsidR="003A6F0B" w:rsidRPr="004C2B19">
        <w:rPr>
          <w:rFonts w:ascii="Times New Roman" w:hAnsi="Times New Roman" w:cs="Times New Roman"/>
          <w:sz w:val="24"/>
        </w:rPr>
        <w:t>en incrementar</w:t>
      </w:r>
      <w:r w:rsidRPr="004C2B19">
        <w:rPr>
          <w:rFonts w:ascii="Times New Roman" w:hAnsi="Times New Roman" w:cs="Times New Roman"/>
          <w:sz w:val="24"/>
        </w:rPr>
        <w:t xml:space="preserve"> la cartera productiva cuyo promedio de crecimiento es de 9.48% por encima al crecimiento anterior, sin </w:t>
      </w:r>
      <w:r w:rsidR="003A6F0B" w:rsidRPr="004C2B19">
        <w:rPr>
          <w:rFonts w:ascii="Times New Roman" w:hAnsi="Times New Roman" w:cs="Times New Roman"/>
          <w:sz w:val="24"/>
        </w:rPr>
        <w:t>embargo, esta</w:t>
      </w:r>
      <w:r w:rsidR="00853C8D" w:rsidRPr="004C2B19">
        <w:rPr>
          <w:rFonts w:ascii="Times New Roman" w:hAnsi="Times New Roman" w:cs="Times New Roman"/>
          <w:sz w:val="24"/>
        </w:rPr>
        <w:t xml:space="preserve"> alta tasa de efectividad es ap</w:t>
      </w:r>
      <w:r w:rsidR="00BA7FF6" w:rsidRPr="004C2B19">
        <w:rPr>
          <w:rFonts w:ascii="Times New Roman" w:hAnsi="Times New Roman" w:cs="Times New Roman"/>
          <w:sz w:val="24"/>
        </w:rPr>
        <w:t xml:space="preserve">arente y </w:t>
      </w:r>
      <w:r w:rsidRPr="004C2B19">
        <w:rPr>
          <w:rFonts w:ascii="Times New Roman" w:hAnsi="Times New Roman" w:cs="Times New Roman"/>
          <w:sz w:val="24"/>
        </w:rPr>
        <w:t>no la consideramos tan efectiva como la de vivienda ya que gran parte de este crecimiento es resultado de recalificación de cartera</w:t>
      </w:r>
      <w:r w:rsidR="0011107D" w:rsidRPr="004C2B19">
        <w:rPr>
          <w:rFonts w:ascii="Times New Roman" w:hAnsi="Times New Roman" w:cs="Times New Roman"/>
          <w:sz w:val="24"/>
        </w:rPr>
        <w:t>.</w:t>
      </w:r>
    </w:p>
    <w:p w14:paraId="7F256B8C" w14:textId="77777777" w:rsidR="00BA7FF6" w:rsidRPr="004C2B19" w:rsidRDefault="00BA7FF6" w:rsidP="004C2B19">
      <w:pPr>
        <w:pStyle w:val="Prrafodelista"/>
        <w:spacing w:after="0" w:line="360" w:lineRule="auto"/>
        <w:ind w:left="1440"/>
        <w:jc w:val="both"/>
        <w:rPr>
          <w:rFonts w:ascii="Times New Roman" w:hAnsi="Times New Roman" w:cs="Times New Roman"/>
          <w:sz w:val="24"/>
        </w:rPr>
      </w:pPr>
    </w:p>
    <w:p w14:paraId="7F256B8D" w14:textId="6F4FECB1" w:rsidR="00D36B60" w:rsidRPr="004C2B19" w:rsidRDefault="00D36B60" w:rsidP="004C2B19">
      <w:pPr>
        <w:pStyle w:val="Prrafodelista"/>
        <w:numPr>
          <w:ilvl w:val="0"/>
          <w:numId w:val="15"/>
        </w:numPr>
        <w:spacing w:after="0" w:line="360" w:lineRule="auto"/>
        <w:jc w:val="both"/>
        <w:rPr>
          <w:rFonts w:ascii="Times New Roman" w:hAnsi="Times New Roman" w:cs="Times New Roman"/>
          <w:sz w:val="24"/>
        </w:rPr>
      </w:pPr>
      <w:r w:rsidRPr="004C2B19">
        <w:rPr>
          <w:rFonts w:ascii="Times New Roman" w:hAnsi="Times New Roman" w:cs="Times New Roman"/>
          <w:sz w:val="24"/>
        </w:rPr>
        <w:t>La mayor parte de los bancos ya se encuentran cumpliendo los cupos de cartera, seguramente algunos se encuentra</w:t>
      </w:r>
      <w:r w:rsidR="003A6F0B" w:rsidRPr="004C2B19">
        <w:rPr>
          <w:rFonts w:ascii="Times New Roman" w:hAnsi="Times New Roman" w:cs="Times New Roman"/>
          <w:sz w:val="24"/>
        </w:rPr>
        <w:t>n</w:t>
      </w:r>
      <w:r w:rsidRPr="004C2B19">
        <w:rPr>
          <w:rFonts w:ascii="Times New Roman" w:hAnsi="Times New Roman" w:cs="Times New Roman"/>
          <w:sz w:val="24"/>
        </w:rPr>
        <w:t xml:space="preserve"> ligeramente por debajo, pero, de seguir la tendencia al cierre de 2018 plazo límite, todos </w:t>
      </w:r>
      <w:r w:rsidR="003A6F0B" w:rsidRPr="004C2B19">
        <w:rPr>
          <w:rFonts w:ascii="Times New Roman" w:hAnsi="Times New Roman" w:cs="Times New Roman"/>
          <w:sz w:val="24"/>
        </w:rPr>
        <w:t>cumplirán con</w:t>
      </w:r>
      <w:r w:rsidRPr="004C2B19">
        <w:rPr>
          <w:rFonts w:ascii="Times New Roman" w:hAnsi="Times New Roman" w:cs="Times New Roman"/>
          <w:sz w:val="24"/>
        </w:rPr>
        <w:t xml:space="preserve"> el cupo. Esto hace pensar que el 2018 y los siguientes años más aun disminuirán las tasas de </w:t>
      </w:r>
      <w:r w:rsidR="003A6F0B" w:rsidRPr="004C2B19">
        <w:rPr>
          <w:rFonts w:ascii="Times New Roman" w:hAnsi="Times New Roman" w:cs="Times New Roman"/>
          <w:sz w:val="24"/>
        </w:rPr>
        <w:t>crecimiento en</w:t>
      </w:r>
      <w:r w:rsidRPr="004C2B19">
        <w:rPr>
          <w:rFonts w:ascii="Times New Roman" w:hAnsi="Times New Roman" w:cs="Times New Roman"/>
          <w:sz w:val="24"/>
        </w:rPr>
        <w:t xml:space="preserve"> cartera productiva y en cartera de vivienda social e irán en crecimiento más equilibrado con las de los otros sectores de la economía, produciéndose una desaceleración en las carteras objeto de la regulación (Productivo y vivienda social).</w:t>
      </w:r>
    </w:p>
    <w:p w14:paraId="7F256B8E" w14:textId="59555F2A" w:rsidR="00853C8D" w:rsidRPr="004C2B19" w:rsidRDefault="00853C8D" w:rsidP="004C2B19">
      <w:pPr>
        <w:pStyle w:val="Prrafodelista"/>
        <w:spacing w:after="0" w:line="360" w:lineRule="auto"/>
        <w:ind w:left="1440"/>
        <w:jc w:val="both"/>
        <w:rPr>
          <w:rFonts w:ascii="Times New Roman" w:hAnsi="Times New Roman" w:cs="Times New Roman"/>
          <w:sz w:val="24"/>
        </w:rPr>
      </w:pPr>
    </w:p>
    <w:p w14:paraId="3B30B655" w14:textId="4340CF8A" w:rsidR="00146F14" w:rsidRDefault="00146F14" w:rsidP="62762CFD">
      <w:pPr>
        <w:pStyle w:val="Prrafodelista"/>
        <w:ind w:left="1440"/>
        <w:jc w:val="both"/>
        <w:rPr>
          <w:sz w:val="24"/>
          <w:szCs w:val="24"/>
        </w:rPr>
      </w:pPr>
    </w:p>
    <w:p w14:paraId="298BB487" w14:textId="4340CF8A" w:rsidR="62762CFD" w:rsidRDefault="62762CFD" w:rsidP="62762CFD">
      <w:pPr>
        <w:pStyle w:val="Prrafodelista"/>
        <w:ind w:left="1440"/>
        <w:jc w:val="both"/>
        <w:rPr>
          <w:sz w:val="24"/>
          <w:szCs w:val="24"/>
        </w:rPr>
      </w:pPr>
    </w:p>
    <w:p w14:paraId="5EAD6DAE" w14:textId="4340CF8A" w:rsidR="62762CFD" w:rsidRDefault="62762CFD" w:rsidP="62762CFD">
      <w:pPr>
        <w:pStyle w:val="Prrafodelista"/>
        <w:ind w:left="1440"/>
        <w:jc w:val="both"/>
        <w:rPr>
          <w:sz w:val="24"/>
          <w:szCs w:val="24"/>
        </w:rPr>
      </w:pPr>
    </w:p>
    <w:p w14:paraId="4997D0DA" w14:textId="4340CF8A" w:rsidR="62762CFD" w:rsidRDefault="62762CFD" w:rsidP="62762CFD">
      <w:pPr>
        <w:pStyle w:val="Prrafodelista"/>
        <w:ind w:left="1440"/>
        <w:jc w:val="both"/>
        <w:rPr>
          <w:sz w:val="24"/>
          <w:szCs w:val="24"/>
        </w:rPr>
      </w:pPr>
    </w:p>
    <w:p w14:paraId="2A29BA43" w14:textId="4340CF8A" w:rsidR="62762CFD" w:rsidRDefault="62762CFD" w:rsidP="62762CFD">
      <w:pPr>
        <w:pStyle w:val="Prrafodelista"/>
        <w:ind w:left="1440"/>
        <w:jc w:val="both"/>
        <w:rPr>
          <w:sz w:val="24"/>
          <w:szCs w:val="24"/>
        </w:rPr>
      </w:pPr>
    </w:p>
    <w:p w14:paraId="7B0C94BA" w14:textId="2CB2929E" w:rsidR="00146F14" w:rsidRDefault="00146F14" w:rsidP="00853C8D">
      <w:pPr>
        <w:pStyle w:val="Prrafodelista"/>
        <w:ind w:left="1440"/>
        <w:jc w:val="both"/>
        <w:rPr>
          <w:sz w:val="24"/>
        </w:rPr>
      </w:pPr>
    </w:p>
    <w:p w14:paraId="59AF725E" w14:textId="3AC3581D" w:rsidR="00146F14" w:rsidRDefault="00146F14" w:rsidP="00853C8D">
      <w:pPr>
        <w:pStyle w:val="Prrafodelista"/>
        <w:ind w:left="1440"/>
        <w:jc w:val="both"/>
        <w:rPr>
          <w:sz w:val="24"/>
        </w:rPr>
      </w:pPr>
    </w:p>
    <w:p w14:paraId="731833D0" w14:textId="0288A641" w:rsidR="00146F14" w:rsidRDefault="00146F14" w:rsidP="00853C8D">
      <w:pPr>
        <w:pStyle w:val="Prrafodelista"/>
        <w:ind w:left="1440"/>
        <w:jc w:val="both"/>
        <w:rPr>
          <w:sz w:val="24"/>
        </w:rPr>
      </w:pPr>
    </w:p>
    <w:p w14:paraId="4F5ED079" w14:textId="03708908" w:rsidR="00146F14" w:rsidRDefault="00146F14" w:rsidP="00853C8D">
      <w:pPr>
        <w:pStyle w:val="Prrafodelista"/>
        <w:ind w:left="1440"/>
        <w:jc w:val="both"/>
        <w:rPr>
          <w:sz w:val="24"/>
        </w:rPr>
      </w:pPr>
    </w:p>
    <w:p w14:paraId="0F459E93" w14:textId="7CE11662" w:rsidR="00146F14" w:rsidRDefault="00146F14" w:rsidP="00853C8D">
      <w:pPr>
        <w:pStyle w:val="Prrafodelista"/>
        <w:ind w:left="1440"/>
        <w:jc w:val="both"/>
        <w:rPr>
          <w:sz w:val="24"/>
        </w:rPr>
      </w:pPr>
    </w:p>
    <w:p w14:paraId="6CF0755E" w14:textId="77777777" w:rsidR="005F0466" w:rsidRDefault="005F0466" w:rsidP="00853C8D">
      <w:pPr>
        <w:pStyle w:val="Prrafodelista"/>
        <w:ind w:left="1440"/>
        <w:jc w:val="both"/>
        <w:rPr>
          <w:sz w:val="24"/>
        </w:rPr>
      </w:pPr>
    </w:p>
    <w:p w14:paraId="14148791" w14:textId="77777777" w:rsidR="005F0466" w:rsidRDefault="005F0466" w:rsidP="00853C8D">
      <w:pPr>
        <w:pStyle w:val="Prrafodelista"/>
        <w:ind w:left="1440"/>
        <w:jc w:val="both"/>
        <w:rPr>
          <w:sz w:val="24"/>
        </w:rPr>
      </w:pPr>
    </w:p>
    <w:p w14:paraId="72A17EFE" w14:textId="77777777" w:rsidR="005F0466" w:rsidRDefault="005F0466" w:rsidP="00853C8D">
      <w:pPr>
        <w:pStyle w:val="Prrafodelista"/>
        <w:ind w:left="1440"/>
        <w:jc w:val="both"/>
        <w:rPr>
          <w:sz w:val="24"/>
        </w:rPr>
      </w:pPr>
    </w:p>
    <w:p w14:paraId="3891D4C1" w14:textId="77777777" w:rsidR="005F0466" w:rsidRDefault="005F0466" w:rsidP="00853C8D">
      <w:pPr>
        <w:pStyle w:val="Prrafodelista"/>
        <w:ind w:left="1440"/>
        <w:jc w:val="both"/>
        <w:rPr>
          <w:sz w:val="24"/>
        </w:rPr>
      </w:pPr>
    </w:p>
    <w:p w14:paraId="4D9BBAF7" w14:textId="77777777" w:rsidR="005F0466" w:rsidRDefault="005F0466" w:rsidP="00853C8D">
      <w:pPr>
        <w:pStyle w:val="Prrafodelista"/>
        <w:ind w:left="1440"/>
        <w:jc w:val="both"/>
        <w:rPr>
          <w:sz w:val="24"/>
        </w:rPr>
      </w:pPr>
    </w:p>
    <w:p w14:paraId="6A60812D" w14:textId="77777777" w:rsidR="005F0466" w:rsidRDefault="005F0466" w:rsidP="00853C8D">
      <w:pPr>
        <w:pStyle w:val="Prrafodelista"/>
        <w:ind w:left="1440"/>
        <w:jc w:val="both"/>
        <w:rPr>
          <w:sz w:val="24"/>
        </w:rPr>
      </w:pPr>
    </w:p>
    <w:p w14:paraId="13488753" w14:textId="77777777" w:rsidR="005F0466" w:rsidRDefault="005F0466" w:rsidP="00853C8D">
      <w:pPr>
        <w:pStyle w:val="Prrafodelista"/>
        <w:ind w:left="1440"/>
        <w:jc w:val="both"/>
        <w:rPr>
          <w:sz w:val="24"/>
        </w:rPr>
      </w:pPr>
    </w:p>
    <w:p w14:paraId="607C24D0" w14:textId="77777777" w:rsidR="005F0466" w:rsidRDefault="005F0466" w:rsidP="00853C8D">
      <w:pPr>
        <w:pStyle w:val="Prrafodelista"/>
        <w:ind w:left="1440"/>
        <w:jc w:val="both"/>
        <w:rPr>
          <w:sz w:val="24"/>
        </w:rPr>
      </w:pPr>
    </w:p>
    <w:p w14:paraId="159D191B" w14:textId="77777777" w:rsidR="005F0466" w:rsidRDefault="005F0466" w:rsidP="00853C8D">
      <w:pPr>
        <w:pStyle w:val="Prrafodelista"/>
        <w:ind w:left="1440"/>
        <w:jc w:val="both"/>
        <w:rPr>
          <w:sz w:val="24"/>
        </w:rPr>
      </w:pPr>
    </w:p>
    <w:p w14:paraId="46D8D69B" w14:textId="77777777" w:rsidR="005F0466" w:rsidRDefault="005F0466" w:rsidP="00853C8D">
      <w:pPr>
        <w:pStyle w:val="Prrafodelista"/>
        <w:ind w:left="1440"/>
        <w:jc w:val="both"/>
        <w:rPr>
          <w:sz w:val="24"/>
        </w:rPr>
      </w:pPr>
    </w:p>
    <w:p w14:paraId="07ADE230" w14:textId="77777777" w:rsidR="005F0466" w:rsidRDefault="005F0466" w:rsidP="00853C8D">
      <w:pPr>
        <w:pStyle w:val="Prrafodelista"/>
        <w:ind w:left="1440"/>
        <w:jc w:val="both"/>
        <w:rPr>
          <w:sz w:val="24"/>
        </w:rPr>
      </w:pPr>
    </w:p>
    <w:p w14:paraId="34CAF1CD" w14:textId="77777777" w:rsidR="005F0466" w:rsidRDefault="005F0466" w:rsidP="00853C8D">
      <w:pPr>
        <w:pStyle w:val="Prrafodelista"/>
        <w:ind w:left="1440"/>
        <w:jc w:val="both"/>
        <w:rPr>
          <w:sz w:val="24"/>
        </w:rPr>
      </w:pPr>
    </w:p>
    <w:p w14:paraId="68AB1F4F" w14:textId="77777777" w:rsidR="005F0466" w:rsidRDefault="005F0466" w:rsidP="00853C8D">
      <w:pPr>
        <w:pStyle w:val="Prrafodelista"/>
        <w:ind w:left="1440"/>
        <w:jc w:val="both"/>
        <w:rPr>
          <w:sz w:val="24"/>
        </w:rPr>
      </w:pPr>
    </w:p>
    <w:p w14:paraId="07DD11BD" w14:textId="77777777" w:rsidR="005F0466" w:rsidRDefault="005F0466" w:rsidP="00853C8D">
      <w:pPr>
        <w:pStyle w:val="Prrafodelista"/>
        <w:ind w:left="1440"/>
        <w:jc w:val="both"/>
        <w:rPr>
          <w:sz w:val="24"/>
        </w:rPr>
      </w:pPr>
    </w:p>
    <w:p w14:paraId="46FE32B0" w14:textId="77777777" w:rsidR="005F0466" w:rsidRDefault="005F0466" w:rsidP="00853C8D">
      <w:pPr>
        <w:pStyle w:val="Prrafodelista"/>
        <w:ind w:left="1440"/>
        <w:jc w:val="both"/>
        <w:rPr>
          <w:sz w:val="24"/>
        </w:rPr>
      </w:pPr>
    </w:p>
    <w:p w14:paraId="20EB582A" w14:textId="77777777" w:rsidR="005F0466" w:rsidRDefault="005F0466" w:rsidP="00853C8D">
      <w:pPr>
        <w:pStyle w:val="Prrafodelista"/>
        <w:ind w:left="1440"/>
        <w:jc w:val="both"/>
        <w:rPr>
          <w:sz w:val="24"/>
        </w:rPr>
      </w:pPr>
    </w:p>
    <w:p w14:paraId="7FA20F02" w14:textId="77777777" w:rsidR="005F0466" w:rsidRDefault="005F0466" w:rsidP="00853C8D">
      <w:pPr>
        <w:pStyle w:val="Prrafodelista"/>
        <w:ind w:left="1440"/>
        <w:jc w:val="both"/>
        <w:rPr>
          <w:sz w:val="24"/>
        </w:rPr>
      </w:pPr>
    </w:p>
    <w:p w14:paraId="0726B212" w14:textId="77777777" w:rsidR="005F0466" w:rsidRDefault="005F0466" w:rsidP="00853C8D">
      <w:pPr>
        <w:pStyle w:val="Prrafodelista"/>
        <w:ind w:left="1440"/>
        <w:jc w:val="both"/>
        <w:rPr>
          <w:sz w:val="24"/>
        </w:rPr>
      </w:pPr>
    </w:p>
    <w:p w14:paraId="728A1735" w14:textId="77777777" w:rsidR="005F0466" w:rsidRDefault="005F0466" w:rsidP="00853C8D">
      <w:pPr>
        <w:pStyle w:val="Prrafodelista"/>
        <w:ind w:left="1440"/>
        <w:jc w:val="both"/>
        <w:rPr>
          <w:sz w:val="24"/>
        </w:rPr>
      </w:pPr>
    </w:p>
    <w:p w14:paraId="36A92EB6" w14:textId="77777777" w:rsidR="005F0466" w:rsidRDefault="005F0466" w:rsidP="00853C8D">
      <w:pPr>
        <w:pStyle w:val="Prrafodelista"/>
        <w:ind w:left="1440"/>
        <w:jc w:val="both"/>
        <w:rPr>
          <w:sz w:val="24"/>
        </w:rPr>
      </w:pPr>
    </w:p>
    <w:p w14:paraId="1371C9AC" w14:textId="77777777" w:rsidR="005F0466" w:rsidRDefault="005F0466" w:rsidP="00853C8D">
      <w:pPr>
        <w:pStyle w:val="Prrafodelista"/>
        <w:ind w:left="1440"/>
        <w:jc w:val="both"/>
        <w:rPr>
          <w:sz w:val="24"/>
        </w:rPr>
      </w:pPr>
    </w:p>
    <w:p w14:paraId="0F527EE3" w14:textId="77777777" w:rsidR="005F0466" w:rsidRDefault="005F0466" w:rsidP="00853C8D">
      <w:pPr>
        <w:pStyle w:val="Prrafodelista"/>
        <w:ind w:left="1440"/>
        <w:jc w:val="both"/>
        <w:rPr>
          <w:sz w:val="24"/>
        </w:rPr>
      </w:pPr>
    </w:p>
    <w:p w14:paraId="6ADA952B" w14:textId="77777777" w:rsidR="005F0466" w:rsidRDefault="005F0466" w:rsidP="00853C8D">
      <w:pPr>
        <w:pStyle w:val="Prrafodelista"/>
        <w:ind w:left="1440"/>
        <w:jc w:val="both"/>
        <w:rPr>
          <w:sz w:val="24"/>
        </w:rPr>
      </w:pPr>
    </w:p>
    <w:p w14:paraId="6224BB84" w14:textId="363A91FE" w:rsidR="00146F14" w:rsidRDefault="00146F14" w:rsidP="00853C8D">
      <w:pPr>
        <w:pStyle w:val="Prrafodelista"/>
        <w:ind w:left="1440"/>
        <w:jc w:val="both"/>
        <w:rPr>
          <w:sz w:val="24"/>
        </w:rPr>
      </w:pPr>
    </w:p>
    <w:p w14:paraId="5AFD8E57" w14:textId="77777777" w:rsidR="004C2B19" w:rsidRDefault="004C2B19" w:rsidP="00853C8D">
      <w:pPr>
        <w:pStyle w:val="Prrafodelista"/>
        <w:ind w:left="1440"/>
        <w:jc w:val="both"/>
        <w:rPr>
          <w:sz w:val="24"/>
        </w:rPr>
      </w:pPr>
    </w:p>
    <w:p w14:paraId="4C4A7DDD" w14:textId="77777777" w:rsidR="004C2B19" w:rsidRDefault="004C2B19" w:rsidP="00853C8D">
      <w:pPr>
        <w:pStyle w:val="Prrafodelista"/>
        <w:ind w:left="1440"/>
        <w:jc w:val="both"/>
        <w:rPr>
          <w:sz w:val="24"/>
        </w:rPr>
      </w:pPr>
    </w:p>
    <w:p w14:paraId="7FFF8B58" w14:textId="4340CF8A" w:rsidR="00146F14" w:rsidRDefault="00146F14" w:rsidP="62762CFD">
      <w:pPr>
        <w:pStyle w:val="Prrafodelista"/>
        <w:ind w:left="1440"/>
        <w:jc w:val="both"/>
        <w:rPr>
          <w:sz w:val="24"/>
          <w:szCs w:val="24"/>
        </w:rPr>
      </w:pPr>
    </w:p>
    <w:sdt>
      <w:sdtPr>
        <w:rPr>
          <w:rFonts w:asciiTheme="minorHAnsi" w:eastAsiaTheme="minorHAnsi" w:hAnsiTheme="minorHAnsi" w:cstheme="minorBidi"/>
          <w:color w:val="auto"/>
          <w:sz w:val="22"/>
          <w:szCs w:val="22"/>
          <w:lang w:val="es-ES" w:eastAsia="en-US"/>
        </w:rPr>
        <w:id w:val="-1967567960"/>
        <w:docPartObj>
          <w:docPartGallery w:val="Bibliographies"/>
          <w:docPartUnique/>
        </w:docPartObj>
      </w:sdtPr>
      <w:sdtEndPr>
        <w:rPr>
          <w:lang w:val="es-BO"/>
        </w:rPr>
      </w:sdtEndPr>
      <w:sdtContent>
        <w:p w14:paraId="69D33D1D" w14:textId="348ABB61" w:rsidR="00146F14" w:rsidRPr="00092626" w:rsidRDefault="00146F14">
          <w:pPr>
            <w:pStyle w:val="Ttulo1"/>
            <w:rPr>
              <w:b/>
              <w:color w:val="000000" w:themeColor="text1"/>
            </w:rPr>
          </w:pPr>
          <w:r w:rsidRPr="00092626">
            <w:rPr>
              <w:b/>
              <w:color w:val="000000" w:themeColor="text1"/>
            </w:rPr>
            <w:t>Referencias</w:t>
          </w:r>
        </w:p>
        <w:sdt>
          <w:sdtPr>
            <w:id w:val="-573587230"/>
            <w:bibliography/>
          </w:sdtPr>
          <w:sdtEndPr/>
          <w:sdtContent>
            <w:p w14:paraId="259EB050" w14:textId="489DE895" w:rsidR="005F0466" w:rsidRDefault="005F0466" w:rsidP="005F0466">
              <w:pPr>
                <w:pStyle w:val="Bibliografa"/>
                <w:ind w:left="720" w:hanging="720"/>
                <w:rPr>
                  <w:noProof/>
                </w:rPr>
              </w:pPr>
              <w:r>
                <w:rPr>
                  <w:noProof/>
                </w:rPr>
                <w:t xml:space="preserve">Auad, José. (18 de Abril de 2014). </w:t>
              </w:r>
              <w:r>
                <w:rPr>
                  <w:i/>
                  <w:iCs/>
                  <w:noProof/>
                </w:rPr>
                <w:t>CRECER</w:t>
              </w:r>
              <w:r>
                <w:rPr>
                  <w:noProof/>
                </w:rPr>
                <w:t>. Obtenido de www.crecer.org: http://crecer.org.bo/index.php?mc=37&amp;next_p=1&amp;&amp;cod=36#crecer</w:t>
              </w:r>
            </w:p>
            <w:p w14:paraId="494F21A2" w14:textId="6E14864A" w:rsidR="00161C2D" w:rsidRDefault="00161C2D" w:rsidP="00E82032">
              <w:pPr>
                <w:pStyle w:val="Bibliografa"/>
                <w:ind w:left="720" w:hanging="720"/>
                <w:jc w:val="both"/>
              </w:pPr>
              <w:r w:rsidRPr="00161C2D">
                <w:t>Beneras Rivera, A. P. (2018). Racionamiento de crédito comercial y regulación de tasas de interés en Ecuador en el periodo 2007 – 2015. (Tesis de pregrado). Universidad de las Américas, Quito.</w:t>
              </w:r>
            </w:p>
            <w:p w14:paraId="5E8FACA3" w14:textId="7BCA1F8F" w:rsidR="007E16AF" w:rsidRPr="00E82032" w:rsidRDefault="00146F14" w:rsidP="00E82032">
              <w:pPr>
                <w:pStyle w:val="Bibliografa"/>
                <w:ind w:left="720" w:hanging="720"/>
                <w:jc w:val="both"/>
                <w:rPr>
                  <w:rFonts w:cstheme="minorHAnsi"/>
                  <w:i/>
                  <w:iCs/>
                </w:rPr>
              </w:pPr>
              <w:r w:rsidRPr="00E82032">
                <w:rPr>
                  <w:rFonts w:cstheme="minorHAnsi"/>
                </w:rPr>
                <w:fldChar w:fldCharType="begin"/>
              </w:r>
              <w:r w:rsidRPr="006E1676">
                <w:rPr>
                  <w:rFonts w:cstheme="minorHAnsi"/>
                </w:rPr>
                <w:instrText>BIBLIOGRAPHY</w:instrText>
              </w:r>
              <w:r w:rsidRPr="00E82032">
                <w:rPr>
                  <w:rFonts w:cstheme="minorHAnsi"/>
                </w:rPr>
                <w:fldChar w:fldCharType="separate"/>
              </w:r>
              <w:r w:rsidR="007E16AF" w:rsidRPr="006E1676">
                <w:rPr>
                  <w:rFonts w:cstheme="minorHAnsi"/>
                </w:rPr>
                <w:t xml:space="preserve">Benmelech, E. &amp; T. Moskowitz. </w:t>
              </w:r>
              <w:r w:rsidR="007E16AF" w:rsidRPr="00E82032">
                <w:rPr>
                  <w:rFonts w:cstheme="minorHAnsi"/>
                  <w:lang w:val="en-US"/>
                </w:rPr>
                <w:t xml:space="preserve">2010. The political economy of financial regulation: Evidence from U.S. usury laws in the 19th century. </w:t>
              </w:r>
              <w:r w:rsidR="007E16AF" w:rsidRPr="00E82032">
                <w:rPr>
                  <w:rFonts w:cstheme="minorHAnsi"/>
                  <w:i/>
                  <w:iCs/>
                </w:rPr>
                <w:t>Journal of Finance 65(3).</w:t>
              </w:r>
            </w:p>
            <w:p w14:paraId="6A06E1CE" w14:textId="77777777" w:rsidR="00146F14" w:rsidRPr="00E82032" w:rsidRDefault="00146F14" w:rsidP="00E82032">
              <w:pPr>
                <w:pStyle w:val="Bibliografa"/>
                <w:ind w:left="720" w:hanging="720"/>
                <w:jc w:val="both"/>
                <w:rPr>
                  <w:rFonts w:cstheme="minorHAnsi"/>
                  <w:noProof/>
                  <w:lang w:val="es-ES"/>
                </w:rPr>
              </w:pPr>
              <w:r w:rsidRPr="00E82032">
                <w:rPr>
                  <w:rFonts w:cstheme="minorHAnsi"/>
                  <w:noProof/>
                  <w:lang w:val="es-ES"/>
                </w:rPr>
                <w:t xml:space="preserve">Bolivia, B. C. (02 de mayo de 2018). </w:t>
              </w:r>
              <w:r w:rsidRPr="00E82032">
                <w:rPr>
                  <w:rFonts w:cstheme="minorHAnsi"/>
                  <w:i/>
                  <w:iCs/>
                  <w:noProof/>
                  <w:lang w:val="es-ES"/>
                </w:rPr>
                <w:t>Banco Central de Bolivia</w:t>
              </w:r>
              <w:r w:rsidRPr="00E82032">
                <w:rPr>
                  <w:rFonts w:cstheme="minorHAnsi"/>
                  <w:noProof/>
                  <w:lang w:val="es-ES"/>
                </w:rPr>
                <w:t>. Obtenido de https://www.bcb.gob.bo/?q=content/2014-ds-2055-tasas-de-inter%C3%A9s-m%C3%ADnimas-y-m%C3%A1ximas</w:t>
              </w:r>
            </w:p>
            <w:p w14:paraId="2C7161C7" w14:textId="7B378362" w:rsidR="00146F14" w:rsidRDefault="00146F14" w:rsidP="00E82032">
              <w:pPr>
                <w:pStyle w:val="Bibliografa"/>
                <w:ind w:left="720" w:hanging="720"/>
                <w:jc w:val="both"/>
                <w:rPr>
                  <w:rFonts w:cstheme="minorHAnsi"/>
                  <w:noProof/>
                  <w:lang w:val="es-ES"/>
                </w:rPr>
              </w:pPr>
              <w:r w:rsidRPr="00E82032">
                <w:rPr>
                  <w:rFonts w:cstheme="minorHAnsi"/>
                  <w:noProof/>
                  <w:lang w:val="es-ES"/>
                </w:rPr>
                <w:t xml:space="preserve">BOLIVIA, P. E. (30 de Noviembre de 2016). </w:t>
              </w:r>
              <w:r w:rsidRPr="00E82032">
                <w:rPr>
                  <w:rFonts w:cstheme="minorHAnsi"/>
                  <w:i/>
                  <w:iCs/>
                  <w:noProof/>
                  <w:lang w:val="es-ES"/>
                </w:rPr>
                <w:t>GACETA OFICIAL DE BOLIVIA.</w:t>
              </w:r>
              <w:r w:rsidRPr="00E82032">
                <w:rPr>
                  <w:rFonts w:cstheme="minorHAnsi"/>
                  <w:noProof/>
                  <w:lang w:val="es-ES"/>
                </w:rPr>
                <w:t xml:space="preserve"> </w:t>
              </w:r>
            </w:p>
            <w:p w14:paraId="226D17B8" w14:textId="772E6313" w:rsidR="00161C2D" w:rsidRPr="00092626" w:rsidRDefault="00161C2D" w:rsidP="00161C2D">
              <w:pPr>
                <w:jc w:val="both"/>
                <w:rPr>
                  <w:i/>
                  <w:lang w:val="en-US"/>
                </w:rPr>
              </w:pPr>
              <w:r>
                <w:rPr>
                  <w:lang w:val="es-ES"/>
                </w:rPr>
                <w:t xml:space="preserve">Brownlee, O., (1968). </w:t>
              </w:r>
              <w:r w:rsidRPr="00092626">
                <w:rPr>
                  <w:i/>
                  <w:lang w:val="en-US"/>
                </w:rPr>
                <w:t xml:space="preserve">The Effects of Monetary and Credit Policies on the Structure of the Economy. </w:t>
              </w:r>
              <w:r w:rsidRPr="00092626">
                <w:rPr>
                  <w:lang w:val="en-US"/>
                </w:rPr>
                <w:t>Journal of Political Economy, Vol. 76, No.4, Part2: issues in Monetary Research, 1967 (Jul-Ago., 1968).</w:t>
              </w:r>
            </w:p>
            <w:p w14:paraId="1BB848E8" w14:textId="3896DAB9" w:rsidR="007E16AF" w:rsidRDefault="007E16AF" w:rsidP="00161C2D">
              <w:pPr>
                <w:autoSpaceDE w:val="0"/>
                <w:autoSpaceDN w:val="0"/>
                <w:adjustRightInd w:val="0"/>
                <w:spacing w:after="0" w:line="240" w:lineRule="auto"/>
                <w:jc w:val="both"/>
                <w:rPr>
                  <w:rFonts w:cstheme="minorHAnsi"/>
                </w:rPr>
              </w:pPr>
              <w:r w:rsidRPr="00E82032">
                <w:rPr>
                  <w:rFonts w:cstheme="minorHAnsi"/>
                </w:rPr>
                <w:t xml:space="preserve">Capera, L., A. Pabón &amp; D. Estrada. 2011. Efectos de los límites a las tasas de interés sobre la profundización financiera. </w:t>
              </w:r>
              <w:r w:rsidRPr="00E82032">
                <w:rPr>
                  <w:rFonts w:cstheme="minorHAnsi"/>
                  <w:i/>
                  <w:iCs/>
                </w:rPr>
                <w:t>Temas de Estabilidad Financiera 57</w:t>
              </w:r>
              <w:r w:rsidRPr="00E82032">
                <w:rPr>
                  <w:rFonts w:cstheme="minorHAnsi"/>
                </w:rPr>
                <w:t>, Banco de la República de Colombia.</w:t>
              </w:r>
            </w:p>
            <w:p w14:paraId="5866CDBA" w14:textId="77777777" w:rsidR="00D746FE" w:rsidRDefault="00D746FE" w:rsidP="00E82032">
              <w:pPr>
                <w:autoSpaceDE w:val="0"/>
                <w:autoSpaceDN w:val="0"/>
                <w:adjustRightInd w:val="0"/>
                <w:spacing w:after="0" w:line="240" w:lineRule="auto"/>
                <w:jc w:val="both"/>
                <w:rPr>
                  <w:rFonts w:cstheme="minorHAnsi"/>
                </w:rPr>
              </w:pPr>
            </w:p>
            <w:p w14:paraId="7AEF2BE3" w14:textId="6A3AE7A8" w:rsidR="00D746FE" w:rsidRPr="00D746FE" w:rsidRDefault="00D746FE" w:rsidP="00161C2D">
              <w:pPr>
                <w:autoSpaceDE w:val="0"/>
                <w:autoSpaceDN w:val="0"/>
                <w:adjustRightInd w:val="0"/>
                <w:spacing w:after="0" w:line="240" w:lineRule="auto"/>
                <w:jc w:val="both"/>
                <w:rPr>
                  <w:rFonts w:cstheme="minorHAnsi"/>
                </w:rPr>
              </w:pPr>
              <w:r>
                <w:rPr>
                  <w:rFonts w:cstheme="minorHAnsi"/>
                </w:rPr>
                <w:t xml:space="preserve">Carvajal M. &amp; Carvajal C., 2009, </w:t>
              </w:r>
              <w:r>
                <w:rPr>
                  <w:rFonts w:cstheme="minorHAnsi"/>
                  <w:i/>
                </w:rPr>
                <w:t xml:space="preserve">Análisis económico de los límites a la tasa de interés, </w:t>
              </w:r>
              <w:r>
                <w:rPr>
                  <w:rFonts w:cstheme="minorHAnsi"/>
                </w:rPr>
                <w:t>Pontificia Universidad Javeriana, Facultad de Derecho, Departamento de Derecho Económico.</w:t>
              </w:r>
            </w:p>
            <w:p w14:paraId="0E51AA60" w14:textId="77777777" w:rsidR="007E16AF" w:rsidRDefault="007E16AF" w:rsidP="00161C2D">
              <w:pPr>
                <w:autoSpaceDE w:val="0"/>
                <w:autoSpaceDN w:val="0"/>
                <w:adjustRightInd w:val="0"/>
                <w:spacing w:after="0" w:line="240" w:lineRule="auto"/>
                <w:jc w:val="both"/>
                <w:rPr>
                  <w:rFonts w:cstheme="minorHAnsi"/>
                  <w:lang w:val="es-ES"/>
                </w:rPr>
              </w:pPr>
            </w:p>
            <w:p w14:paraId="2656E4F5" w14:textId="6D436AF2" w:rsidR="00D746FE" w:rsidRDefault="00D746FE" w:rsidP="00161C2D">
              <w:pPr>
                <w:autoSpaceDE w:val="0"/>
                <w:autoSpaceDN w:val="0"/>
                <w:adjustRightInd w:val="0"/>
                <w:spacing w:after="0" w:line="240" w:lineRule="auto"/>
                <w:jc w:val="both"/>
                <w:rPr>
                  <w:rFonts w:cstheme="minorHAnsi"/>
                  <w:lang w:val="es-ES"/>
                </w:rPr>
              </w:pPr>
              <w:r>
                <w:rPr>
                  <w:rFonts w:cstheme="minorHAnsi"/>
                  <w:lang w:val="es-ES"/>
                </w:rPr>
                <w:t xml:space="preserve">Cotler, P., (1991). </w:t>
              </w:r>
              <w:r w:rsidRPr="00D746FE">
                <w:rPr>
                  <w:rFonts w:cstheme="minorHAnsi"/>
                  <w:i/>
                  <w:lang w:val="es-ES"/>
                </w:rPr>
                <w:t>Los efectos ambiguos de la tasa de interés en un contexto de regulación</w:t>
              </w:r>
              <w:r>
                <w:rPr>
                  <w:rFonts w:cstheme="minorHAnsi"/>
                  <w:lang w:val="es-ES"/>
                </w:rPr>
                <w:t>. El   Trimestre Económico, Vol 58, No. 232(4) (Octubre- Diciembre, 1991).</w:t>
              </w:r>
            </w:p>
            <w:p w14:paraId="4E6AB2EF" w14:textId="77777777" w:rsidR="00D746FE" w:rsidRDefault="00D746FE" w:rsidP="00161C2D">
              <w:pPr>
                <w:autoSpaceDE w:val="0"/>
                <w:autoSpaceDN w:val="0"/>
                <w:adjustRightInd w:val="0"/>
                <w:spacing w:after="0" w:line="240" w:lineRule="auto"/>
                <w:jc w:val="both"/>
                <w:rPr>
                  <w:rFonts w:cstheme="minorHAnsi"/>
                  <w:lang w:val="es-ES"/>
                </w:rPr>
              </w:pPr>
            </w:p>
            <w:p w14:paraId="6E5F5FC0" w14:textId="57BF13C8" w:rsidR="00D746FE" w:rsidRPr="00092626" w:rsidRDefault="00D746FE" w:rsidP="00161C2D">
              <w:pPr>
                <w:autoSpaceDE w:val="0"/>
                <w:autoSpaceDN w:val="0"/>
                <w:adjustRightInd w:val="0"/>
                <w:spacing w:after="0" w:line="240" w:lineRule="auto"/>
                <w:jc w:val="both"/>
                <w:rPr>
                  <w:rFonts w:cstheme="minorHAnsi"/>
                  <w:lang w:val="en-US"/>
                </w:rPr>
              </w:pPr>
              <w:r>
                <w:rPr>
                  <w:rFonts w:cstheme="minorHAnsi"/>
                  <w:lang w:val="es-ES"/>
                </w:rPr>
                <w:t xml:space="preserve">Danigno, J.M. (1987), </w:t>
              </w:r>
              <w:r>
                <w:rPr>
                  <w:rFonts w:cstheme="minorHAnsi"/>
                  <w:i/>
                  <w:lang w:val="es-ES"/>
                </w:rPr>
                <w:t xml:space="preserve">Las tasas de interés bajo distintos contextos cambiario y financiero, </w:t>
              </w:r>
              <w:r>
                <w:rPr>
                  <w:rFonts w:cstheme="minorHAnsi"/>
                  <w:lang w:val="es-ES"/>
                </w:rPr>
                <w:t xml:space="preserve">Desarrollo Económico, Vol. 27, No. 105 (Abr-Jun. </w:t>
              </w:r>
              <w:r w:rsidRPr="00092626">
                <w:rPr>
                  <w:rFonts w:cstheme="minorHAnsi"/>
                  <w:lang w:val="en-US"/>
                </w:rPr>
                <w:t>1987).</w:t>
              </w:r>
            </w:p>
            <w:p w14:paraId="499BD354" w14:textId="77777777" w:rsidR="00161C2D" w:rsidRPr="00092626" w:rsidRDefault="00161C2D" w:rsidP="00D746FE">
              <w:pPr>
                <w:autoSpaceDE w:val="0"/>
                <w:autoSpaceDN w:val="0"/>
                <w:adjustRightInd w:val="0"/>
                <w:spacing w:after="0" w:line="240" w:lineRule="auto"/>
                <w:jc w:val="both"/>
                <w:rPr>
                  <w:rFonts w:cstheme="minorHAnsi"/>
                  <w:lang w:val="en-US"/>
                </w:rPr>
              </w:pPr>
            </w:p>
            <w:p w14:paraId="7A070811" w14:textId="4FC8115E" w:rsidR="00161C2D" w:rsidRPr="00092626" w:rsidRDefault="00161C2D" w:rsidP="00D746FE">
              <w:pPr>
                <w:autoSpaceDE w:val="0"/>
                <w:autoSpaceDN w:val="0"/>
                <w:adjustRightInd w:val="0"/>
                <w:spacing w:after="0" w:line="240" w:lineRule="auto"/>
                <w:jc w:val="both"/>
                <w:rPr>
                  <w:rFonts w:cstheme="minorHAnsi"/>
                  <w:lang w:val="en-US"/>
                </w:rPr>
              </w:pPr>
              <w:r w:rsidRPr="00092626">
                <w:rPr>
                  <w:rFonts w:cstheme="minorHAnsi"/>
                  <w:lang w:val="en-US"/>
                </w:rPr>
                <w:t xml:space="preserve">Fry, M., (1978). </w:t>
              </w:r>
              <w:r w:rsidRPr="00092626">
                <w:rPr>
                  <w:rFonts w:cstheme="minorHAnsi"/>
                  <w:i/>
                  <w:lang w:val="en-US"/>
                </w:rPr>
                <w:t xml:space="preserve">Sectorial Investment and Credit Policies. </w:t>
              </w:r>
              <w:r w:rsidRPr="00092626">
                <w:rPr>
                  <w:rFonts w:cstheme="minorHAnsi"/>
                  <w:lang w:val="en-US"/>
                </w:rPr>
                <w:t>The Pakistan Development Review, Vol. 17, No. 1 (Spring, 1978).</w:t>
              </w:r>
            </w:p>
            <w:p w14:paraId="1E405DB0" w14:textId="77777777" w:rsidR="00D746FE" w:rsidRPr="00092626" w:rsidRDefault="00D746FE" w:rsidP="00E82032">
              <w:pPr>
                <w:autoSpaceDE w:val="0"/>
                <w:autoSpaceDN w:val="0"/>
                <w:adjustRightInd w:val="0"/>
                <w:spacing w:after="0" w:line="240" w:lineRule="auto"/>
                <w:jc w:val="both"/>
                <w:rPr>
                  <w:rFonts w:cstheme="minorHAnsi"/>
                  <w:lang w:val="en-US"/>
                </w:rPr>
              </w:pPr>
            </w:p>
            <w:p w14:paraId="5B902CAE" w14:textId="77777777" w:rsidR="00F4314D" w:rsidRPr="00E82032" w:rsidRDefault="00F4314D" w:rsidP="00E82032">
              <w:pPr>
                <w:autoSpaceDE w:val="0"/>
                <w:autoSpaceDN w:val="0"/>
                <w:adjustRightInd w:val="0"/>
                <w:spacing w:after="0" w:line="360" w:lineRule="auto"/>
                <w:jc w:val="both"/>
                <w:rPr>
                  <w:rFonts w:cstheme="minorHAnsi"/>
                  <w:i/>
                </w:rPr>
              </w:pPr>
              <w:r w:rsidRPr="00E82032">
                <w:rPr>
                  <w:rFonts w:cstheme="minorHAnsi"/>
                  <w:i/>
                </w:rPr>
                <w:t xml:space="preserve">Gaceta Oficial de Bolivia, </w:t>
              </w:r>
              <w:r w:rsidRPr="00E82032">
                <w:rPr>
                  <w:rFonts w:cstheme="minorHAnsi"/>
                  <w:i/>
                  <w:iCs/>
                </w:rPr>
                <w:t>Ley 393</w:t>
              </w:r>
              <w:r w:rsidRPr="00E82032">
                <w:rPr>
                  <w:rFonts w:cstheme="minorHAnsi"/>
                  <w:i/>
                </w:rPr>
                <w:t>, de 5 de agosto de 2013.</w:t>
              </w:r>
            </w:p>
            <w:p w14:paraId="450F05F9" w14:textId="77777777" w:rsidR="00F4314D" w:rsidRPr="00E82032" w:rsidRDefault="00F4314D" w:rsidP="00E82032">
              <w:pPr>
                <w:autoSpaceDE w:val="0"/>
                <w:autoSpaceDN w:val="0"/>
                <w:adjustRightInd w:val="0"/>
                <w:spacing w:after="0" w:line="360" w:lineRule="auto"/>
                <w:jc w:val="both"/>
                <w:rPr>
                  <w:rFonts w:cstheme="minorHAnsi"/>
                  <w:i/>
                </w:rPr>
              </w:pPr>
              <w:r w:rsidRPr="00E82032">
                <w:rPr>
                  <w:rFonts w:cstheme="minorHAnsi"/>
                  <w:i/>
                </w:rPr>
                <w:t xml:space="preserve">Gaceta Oficial de Bolivia, </w:t>
              </w:r>
              <w:r w:rsidRPr="00E82032">
                <w:rPr>
                  <w:rFonts w:cstheme="minorHAnsi"/>
                  <w:i/>
                  <w:iCs/>
                </w:rPr>
                <w:t xml:space="preserve">Decreto Supremo 1842, </w:t>
              </w:r>
              <w:r w:rsidRPr="00E82032">
                <w:rPr>
                  <w:rFonts w:cstheme="minorHAnsi"/>
                  <w:i/>
                </w:rPr>
                <w:t>de 18 de diciembre de 2013.</w:t>
              </w:r>
            </w:p>
            <w:p w14:paraId="52D018A5" w14:textId="6C64F779" w:rsidR="00F4314D" w:rsidRPr="00E82032" w:rsidRDefault="00F4314D" w:rsidP="00E82032">
              <w:pPr>
                <w:spacing w:line="360" w:lineRule="auto"/>
                <w:jc w:val="both"/>
                <w:rPr>
                  <w:rFonts w:cstheme="minorHAnsi"/>
                  <w:i/>
                  <w:lang w:val="es-ES"/>
                </w:rPr>
              </w:pPr>
              <w:r w:rsidRPr="00E82032">
                <w:rPr>
                  <w:rFonts w:cstheme="minorHAnsi"/>
                  <w:i/>
                </w:rPr>
                <w:t xml:space="preserve">Gaceta Oficial de Bolivia, </w:t>
              </w:r>
              <w:r w:rsidRPr="00E82032">
                <w:rPr>
                  <w:rFonts w:cstheme="minorHAnsi"/>
                  <w:i/>
                  <w:iCs/>
                </w:rPr>
                <w:t xml:space="preserve">Decreto Supremo 2055, </w:t>
              </w:r>
              <w:r w:rsidRPr="00E82032">
                <w:rPr>
                  <w:rFonts w:cstheme="minorHAnsi"/>
                  <w:i/>
                </w:rPr>
                <w:t>de 9 de julio de 2014.</w:t>
              </w:r>
            </w:p>
            <w:p w14:paraId="439ABE9E" w14:textId="77777777" w:rsidR="00146F14" w:rsidRPr="00E82032" w:rsidRDefault="00146F14" w:rsidP="00E82032">
              <w:pPr>
                <w:pStyle w:val="Bibliografa"/>
                <w:ind w:left="720" w:hanging="720"/>
                <w:jc w:val="both"/>
                <w:rPr>
                  <w:rFonts w:cstheme="minorHAnsi"/>
                  <w:noProof/>
                  <w:lang w:val="es-ES"/>
                </w:rPr>
              </w:pPr>
              <w:r w:rsidRPr="00E82032">
                <w:rPr>
                  <w:rFonts w:cstheme="minorHAnsi"/>
                  <w:i/>
                  <w:iCs/>
                  <w:noProof/>
                  <w:lang w:val="es-ES"/>
                </w:rPr>
                <w:t>Gaceta Oficial de Bolivia</w:t>
              </w:r>
              <w:r w:rsidRPr="00E82032">
                <w:rPr>
                  <w:rFonts w:cstheme="minorHAnsi"/>
                  <w:noProof/>
                  <w:lang w:val="es-ES"/>
                </w:rPr>
                <w:t>. (02 de mayo de 2018). Obtenido de http://www.gacetaoficialdebolivia.gob.bo/index.php/normas/buscar</w:t>
              </w:r>
            </w:p>
            <w:p w14:paraId="228F7ACF" w14:textId="7C178EAE" w:rsidR="00146F14" w:rsidRPr="00E82032" w:rsidRDefault="00146F14" w:rsidP="00E82032">
              <w:pPr>
                <w:pStyle w:val="Bibliografa"/>
                <w:ind w:left="720" w:hanging="720"/>
                <w:jc w:val="both"/>
                <w:rPr>
                  <w:rFonts w:cstheme="minorHAnsi"/>
                  <w:noProof/>
                  <w:lang w:val="en-US"/>
                </w:rPr>
              </w:pPr>
              <w:r w:rsidRPr="00E82032">
                <w:rPr>
                  <w:rFonts w:cstheme="minorHAnsi"/>
                  <w:noProof/>
                  <w:lang w:val="es-ES"/>
                </w:rPr>
                <w:t xml:space="preserve">Hurtado, A. (2016). </w:t>
              </w:r>
              <w:r w:rsidRPr="00E82032">
                <w:rPr>
                  <w:rFonts w:cstheme="minorHAnsi"/>
                  <w:i/>
                  <w:iCs/>
                  <w:noProof/>
                  <w:lang w:val="es-ES"/>
                </w:rPr>
                <w:t>EFECTOS DE LA REGULACION A TASAS DE INTERES EN EL MERCADO DE CREDITOS BANCARIOS.</w:t>
              </w:r>
              <w:r w:rsidRPr="00E82032">
                <w:rPr>
                  <w:rFonts w:cstheme="minorHAnsi"/>
                  <w:noProof/>
                  <w:lang w:val="es-ES"/>
                </w:rPr>
                <w:t xml:space="preserve"> </w:t>
              </w:r>
              <w:r w:rsidRPr="00E82032">
                <w:rPr>
                  <w:rFonts w:cstheme="minorHAnsi"/>
                  <w:noProof/>
                  <w:lang w:val="en-US"/>
                </w:rPr>
                <w:t>SANTIAGO: UNIVERSIDAD DE CHILE.</w:t>
              </w:r>
            </w:p>
            <w:p w14:paraId="588ADE38" w14:textId="453242EF" w:rsidR="007E16AF" w:rsidRPr="00E82032" w:rsidRDefault="007E16AF" w:rsidP="00E82032">
              <w:pPr>
                <w:autoSpaceDE w:val="0"/>
                <w:autoSpaceDN w:val="0"/>
                <w:adjustRightInd w:val="0"/>
                <w:spacing w:after="0" w:line="240" w:lineRule="auto"/>
                <w:jc w:val="both"/>
                <w:rPr>
                  <w:rFonts w:cstheme="minorHAnsi"/>
                  <w:lang w:val="en-US"/>
                </w:rPr>
              </w:pPr>
              <w:r w:rsidRPr="00E82032">
                <w:rPr>
                  <w:rFonts w:cstheme="minorHAnsi"/>
                  <w:lang w:val="en-US"/>
                </w:rPr>
                <w:t xml:space="preserve">Miller H. (2013). “Interest rate caps and their impact on financial inclusion”, </w:t>
              </w:r>
              <w:r w:rsidRPr="00E82032">
                <w:rPr>
                  <w:rFonts w:cstheme="minorHAnsi"/>
                  <w:i/>
                  <w:iCs/>
                  <w:lang w:val="en-US"/>
                </w:rPr>
                <w:t>Economic and Private Sector, Professional Evidence and Applied Knowledge Services</w:t>
              </w:r>
              <w:r w:rsidRPr="00E82032">
                <w:rPr>
                  <w:rFonts w:cstheme="minorHAnsi"/>
                  <w:lang w:val="en-US"/>
                </w:rPr>
                <w:t>.</w:t>
              </w:r>
            </w:p>
            <w:p w14:paraId="343EB5D3" w14:textId="77777777" w:rsidR="007E16AF" w:rsidRPr="00E82032" w:rsidRDefault="007E16AF" w:rsidP="00E82032">
              <w:pPr>
                <w:autoSpaceDE w:val="0"/>
                <w:autoSpaceDN w:val="0"/>
                <w:adjustRightInd w:val="0"/>
                <w:spacing w:after="0" w:line="240" w:lineRule="auto"/>
                <w:jc w:val="both"/>
                <w:rPr>
                  <w:rFonts w:cstheme="minorHAnsi"/>
                  <w:lang w:val="en-US"/>
                </w:rPr>
              </w:pPr>
            </w:p>
            <w:p w14:paraId="75670EA5" w14:textId="327D8B4E" w:rsidR="00146F14" w:rsidRPr="00E82032" w:rsidRDefault="00146F14" w:rsidP="00E82032">
              <w:pPr>
                <w:pStyle w:val="Bibliografa"/>
                <w:ind w:left="720" w:hanging="720"/>
                <w:jc w:val="both"/>
                <w:rPr>
                  <w:rFonts w:cstheme="minorHAnsi"/>
                  <w:noProof/>
                </w:rPr>
              </w:pPr>
              <w:r w:rsidRPr="00E82032">
                <w:rPr>
                  <w:rFonts w:cstheme="minorHAnsi"/>
                  <w:noProof/>
                </w:rPr>
                <w:t xml:space="preserve">Nogales, X. (s.f.). </w:t>
              </w:r>
              <w:r w:rsidRPr="00E82032">
                <w:rPr>
                  <w:rFonts w:cstheme="minorHAnsi"/>
                  <w:i/>
                  <w:iCs/>
                  <w:noProof/>
                </w:rPr>
                <w:t>CENTRO LATINOAMERICANO PARA LA ADMNISTRACION DEL DESARROLLO</w:t>
              </w:r>
              <w:r w:rsidRPr="00E82032">
                <w:rPr>
                  <w:rFonts w:cstheme="minorHAnsi"/>
                  <w:noProof/>
                </w:rPr>
                <w:t>.</w:t>
              </w:r>
            </w:p>
            <w:p w14:paraId="219C4A29" w14:textId="77777777" w:rsidR="00010E01" w:rsidRPr="00E82032" w:rsidRDefault="00010E01" w:rsidP="00E82032">
              <w:pPr>
                <w:pStyle w:val="Prrafodelista"/>
                <w:ind w:left="0"/>
                <w:jc w:val="both"/>
                <w:rPr>
                  <w:rFonts w:cstheme="minorHAnsi"/>
                </w:rPr>
              </w:pPr>
              <w:r w:rsidRPr="00E82032">
                <w:rPr>
                  <w:rFonts w:cstheme="minorHAnsi"/>
                  <w:lang w:val="en-US"/>
                </w:rPr>
                <w:t xml:space="preserve">Rigbi, O. 2013. The effects of usury laws: Evidence from the online market. </w:t>
              </w:r>
              <w:r w:rsidRPr="00E82032">
                <w:rPr>
                  <w:rFonts w:cstheme="minorHAnsi"/>
                </w:rPr>
                <w:t>Review of Economics &amp; Statistics 95(4)</w:t>
              </w:r>
            </w:p>
            <w:p w14:paraId="0DA9B9AB" w14:textId="77777777" w:rsidR="00146F14" w:rsidRPr="00E82032" w:rsidRDefault="00146F14" w:rsidP="00E82032">
              <w:pPr>
                <w:pStyle w:val="Bibliografa"/>
                <w:ind w:left="720" w:hanging="720"/>
                <w:jc w:val="both"/>
                <w:rPr>
                  <w:rFonts w:cstheme="minorHAnsi"/>
                  <w:noProof/>
                  <w:lang w:val="es-ES"/>
                </w:rPr>
              </w:pPr>
              <w:r w:rsidRPr="00E82032">
                <w:rPr>
                  <w:rFonts w:cstheme="minorHAnsi"/>
                  <w:noProof/>
                  <w:lang w:val="es-ES"/>
                </w:rPr>
                <w:t xml:space="preserve">SBEF. (2008). </w:t>
              </w:r>
              <w:r w:rsidRPr="00E82032">
                <w:rPr>
                  <w:rFonts w:cstheme="minorHAnsi"/>
                  <w:i/>
                  <w:iCs/>
                  <w:noProof/>
                  <w:lang w:val="es-ES"/>
                </w:rPr>
                <w:t>GUIAS PARA LA GESTION DE RIESGOS.</w:t>
              </w:r>
              <w:r w:rsidRPr="00E82032">
                <w:rPr>
                  <w:rFonts w:cstheme="minorHAnsi"/>
                  <w:noProof/>
                  <w:lang w:val="es-ES"/>
                </w:rPr>
                <w:t xml:space="preserve"> LA PAZ: ARTES GRAFICAS.</w:t>
              </w:r>
            </w:p>
            <w:p w14:paraId="434493FC" w14:textId="049D09A7" w:rsidR="00146F14" w:rsidRPr="00E82032" w:rsidRDefault="007E16AF" w:rsidP="00E82032">
              <w:pPr>
                <w:pStyle w:val="Bibliografa"/>
                <w:ind w:left="720" w:hanging="720"/>
                <w:jc w:val="both"/>
                <w:rPr>
                  <w:rFonts w:cstheme="minorHAnsi"/>
                  <w:noProof/>
                  <w:lang w:val="es-ES"/>
                </w:rPr>
              </w:pPr>
              <w:r w:rsidRPr="00E82032">
                <w:rPr>
                  <w:rFonts w:cstheme="minorHAnsi"/>
                  <w:noProof/>
                  <w:lang w:val="es-ES"/>
                </w:rPr>
                <w:t>V</w:t>
              </w:r>
              <w:r w:rsidR="00146F14" w:rsidRPr="00E82032">
                <w:rPr>
                  <w:rFonts w:cstheme="minorHAnsi"/>
                  <w:noProof/>
                  <w:lang w:val="es-ES"/>
                </w:rPr>
                <w:t>elasco, O. (2015). El efecto de l</w:t>
              </w:r>
              <w:r w:rsidRPr="00E82032">
                <w:rPr>
                  <w:rFonts w:cstheme="minorHAnsi"/>
                  <w:noProof/>
                  <w:lang w:val="es-ES"/>
                </w:rPr>
                <w:t>a</w:t>
              </w:r>
              <w:r w:rsidR="00146F14" w:rsidRPr="00E82032">
                <w:rPr>
                  <w:rFonts w:cstheme="minorHAnsi"/>
                  <w:noProof/>
                  <w:lang w:val="es-ES"/>
                </w:rPr>
                <w:t xml:space="preserve"> </w:t>
              </w:r>
              <w:r w:rsidRPr="00E82032">
                <w:rPr>
                  <w:rFonts w:cstheme="minorHAnsi"/>
                  <w:noProof/>
                  <w:lang w:val="es-ES"/>
                </w:rPr>
                <w:t>R</w:t>
              </w:r>
              <w:r w:rsidR="00146F14" w:rsidRPr="00E82032">
                <w:rPr>
                  <w:rFonts w:cstheme="minorHAnsi"/>
                  <w:noProof/>
                  <w:lang w:val="es-ES"/>
                </w:rPr>
                <w:t xml:space="preserve">egulación de tasas al crédito productivo. </w:t>
              </w:r>
              <w:r w:rsidR="00146F14" w:rsidRPr="00E82032">
                <w:rPr>
                  <w:rFonts w:cstheme="minorHAnsi"/>
                  <w:i/>
                  <w:iCs/>
                  <w:noProof/>
                  <w:lang w:val="es-ES"/>
                </w:rPr>
                <w:t>Ministerio de Economía de Bolivia</w:t>
              </w:r>
              <w:r w:rsidR="00146F14" w:rsidRPr="00E82032">
                <w:rPr>
                  <w:rFonts w:cstheme="minorHAnsi"/>
                  <w:noProof/>
                  <w:lang w:val="es-ES"/>
                </w:rPr>
                <w:t>, 40.</w:t>
              </w:r>
            </w:p>
            <w:p w14:paraId="67DC61D1" w14:textId="2072A163" w:rsidR="00146F14" w:rsidRDefault="00146F14" w:rsidP="00E82032">
              <w:pPr>
                <w:jc w:val="both"/>
              </w:pPr>
              <w:r w:rsidRPr="00E82032">
                <w:rPr>
                  <w:rFonts w:cstheme="minorHAnsi"/>
                  <w:b/>
                  <w:bCs/>
                </w:rPr>
                <w:fldChar w:fldCharType="end"/>
              </w:r>
            </w:p>
          </w:sdtContent>
        </w:sdt>
      </w:sdtContent>
    </w:sdt>
    <w:p w14:paraId="3C630573" w14:textId="77777777" w:rsidR="005F0466" w:rsidRPr="00F35086" w:rsidRDefault="005F0466" w:rsidP="005F0466">
      <w:pPr>
        <w:pStyle w:val="Bibliografa"/>
        <w:ind w:left="720" w:hanging="720"/>
        <w:jc w:val="both"/>
        <w:rPr>
          <w:rFonts w:cstheme="minorHAnsi"/>
          <w:i/>
          <w:iCs/>
          <w:lang w:val="en-US"/>
        </w:rPr>
      </w:pPr>
      <w:r w:rsidRPr="005F0466">
        <w:rPr>
          <w:rFonts w:cstheme="minorHAnsi"/>
          <w:lang w:val="en-US"/>
        </w:rPr>
        <w:t xml:space="preserve">Benmelech, E. &amp; T. Moskowitz. </w:t>
      </w:r>
      <w:r w:rsidRPr="00E82032">
        <w:rPr>
          <w:rFonts w:cstheme="minorHAnsi"/>
          <w:lang w:val="en-US"/>
        </w:rPr>
        <w:t xml:space="preserve">2010. The political economy of financial regulation: Evidence from U.S. usury laws in the 19th century. </w:t>
      </w:r>
      <w:r w:rsidRPr="00F35086">
        <w:rPr>
          <w:rFonts w:cstheme="minorHAnsi"/>
          <w:i/>
          <w:iCs/>
          <w:lang w:val="en-US"/>
        </w:rPr>
        <w:t>Journal of Finance 65(3).</w:t>
      </w:r>
    </w:p>
    <w:p w14:paraId="7F885958" w14:textId="2CD87B82" w:rsidR="00146F14" w:rsidRPr="00F35086" w:rsidRDefault="00146F14" w:rsidP="00146F14">
      <w:pPr>
        <w:pStyle w:val="Prrafodelista"/>
        <w:ind w:left="0"/>
        <w:jc w:val="both"/>
        <w:rPr>
          <w:sz w:val="24"/>
          <w:lang w:val="en-US"/>
        </w:rPr>
      </w:pPr>
    </w:p>
    <w:sectPr w:rsidR="00146F14" w:rsidRPr="00F35086" w:rsidSect="004C2B19">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C9CE62" w14:textId="77777777" w:rsidR="00B533B3" w:rsidRDefault="00B533B3" w:rsidP="00380C13">
      <w:pPr>
        <w:spacing w:after="0" w:line="240" w:lineRule="auto"/>
      </w:pPr>
      <w:r>
        <w:separator/>
      </w:r>
    </w:p>
  </w:endnote>
  <w:endnote w:type="continuationSeparator" w:id="0">
    <w:p w14:paraId="64485761" w14:textId="77777777" w:rsidR="00B533B3" w:rsidRDefault="00B533B3" w:rsidP="00380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81863B" w14:textId="77777777" w:rsidR="00B533B3" w:rsidRDefault="00B533B3" w:rsidP="00380C13">
      <w:pPr>
        <w:spacing w:after="0" w:line="240" w:lineRule="auto"/>
      </w:pPr>
      <w:r>
        <w:separator/>
      </w:r>
    </w:p>
  </w:footnote>
  <w:footnote w:type="continuationSeparator" w:id="0">
    <w:p w14:paraId="12AE76D5" w14:textId="77777777" w:rsidR="00B533B3" w:rsidRDefault="00B533B3" w:rsidP="00380C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9283C"/>
    <w:multiLevelType w:val="hybridMultilevel"/>
    <w:tmpl w:val="A0E031E8"/>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 w15:restartNumberingAfterBreak="0">
    <w:nsid w:val="1432648A"/>
    <w:multiLevelType w:val="hybridMultilevel"/>
    <w:tmpl w:val="98E861F0"/>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 w15:restartNumberingAfterBreak="0">
    <w:nsid w:val="154944FE"/>
    <w:multiLevelType w:val="hybridMultilevel"/>
    <w:tmpl w:val="F0743712"/>
    <w:lvl w:ilvl="0" w:tplc="400A0001">
      <w:start w:val="1"/>
      <w:numFmt w:val="bullet"/>
      <w:lvlText w:val=""/>
      <w:lvlJc w:val="left"/>
      <w:pPr>
        <w:ind w:left="720" w:hanging="360"/>
      </w:pPr>
      <w:rPr>
        <w:rFonts w:ascii="Symbol" w:hAnsi="Symbol" w:hint="default"/>
      </w:rPr>
    </w:lvl>
    <w:lvl w:ilvl="1" w:tplc="400A0003">
      <w:start w:val="1"/>
      <w:numFmt w:val="bullet"/>
      <w:lvlText w:val="o"/>
      <w:lvlJc w:val="left"/>
      <w:pPr>
        <w:ind w:left="1440" w:hanging="360"/>
      </w:pPr>
      <w:rPr>
        <w:rFonts w:ascii="Courier New" w:hAnsi="Courier New" w:cs="Courier New" w:hint="default"/>
      </w:rPr>
    </w:lvl>
    <w:lvl w:ilvl="2" w:tplc="400A0005">
      <w:start w:val="1"/>
      <w:numFmt w:val="bullet"/>
      <w:lvlText w:val=""/>
      <w:lvlJc w:val="left"/>
      <w:pPr>
        <w:ind w:left="2160" w:hanging="360"/>
      </w:pPr>
      <w:rPr>
        <w:rFonts w:ascii="Wingdings" w:hAnsi="Wingdings" w:hint="default"/>
      </w:rPr>
    </w:lvl>
    <w:lvl w:ilvl="3" w:tplc="400A0001">
      <w:start w:val="1"/>
      <w:numFmt w:val="bullet"/>
      <w:lvlText w:val=""/>
      <w:lvlJc w:val="left"/>
      <w:pPr>
        <w:ind w:left="2880" w:hanging="360"/>
      </w:pPr>
      <w:rPr>
        <w:rFonts w:ascii="Symbol" w:hAnsi="Symbol" w:hint="default"/>
      </w:rPr>
    </w:lvl>
    <w:lvl w:ilvl="4" w:tplc="400A0003">
      <w:start w:val="1"/>
      <w:numFmt w:val="bullet"/>
      <w:lvlText w:val="o"/>
      <w:lvlJc w:val="left"/>
      <w:pPr>
        <w:ind w:left="3600" w:hanging="360"/>
      </w:pPr>
      <w:rPr>
        <w:rFonts w:ascii="Courier New" w:hAnsi="Courier New" w:cs="Courier New" w:hint="default"/>
      </w:rPr>
    </w:lvl>
    <w:lvl w:ilvl="5" w:tplc="400A0005">
      <w:start w:val="1"/>
      <w:numFmt w:val="bullet"/>
      <w:lvlText w:val=""/>
      <w:lvlJc w:val="left"/>
      <w:pPr>
        <w:ind w:left="4320" w:hanging="360"/>
      </w:pPr>
      <w:rPr>
        <w:rFonts w:ascii="Wingdings" w:hAnsi="Wingdings" w:hint="default"/>
      </w:rPr>
    </w:lvl>
    <w:lvl w:ilvl="6" w:tplc="400A0001">
      <w:start w:val="1"/>
      <w:numFmt w:val="bullet"/>
      <w:lvlText w:val=""/>
      <w:lvlJc w:val="left"/>
      <w:pPr>
        <w:ind w:left="5040" w:hanging="360"/>
      </w:pPr>
      <w:rPr>
        <w:rFonts w:ascii="Symbol" w:hAnsi="Symbol" w:hint="default"/>
      </w:rPr>
    </w:lvl>
    <w:lvl w:ilvl="7" w:tplc="400A0003">
      <w:start w:val="1"/>
      <w:numFmt w:val="bullet"/>
      <w:lvlText w:val="o"/>
      <w:lvlJc w:val="left"/>
      <w:pPr>
        <w:ind w:left="5760" w:hanging="360"/>
      </w:pPr>
      <w:rPr>
        <w:rFonts w:ascii="Courier New" w:hAnsi="Courier New" w:cs="Courier New" w:hint="default"/>
      </w:rPr>
    </w:lvl>
    <w:lvl w:ilvl="8" w:tplc="400A0005">
      <w:start w:val="1"/>
      <w:numFmt w:val="bullet"/>
      <w:lvlText w:val=""/>
      <w:lvlJc w:val="left"/>
      <w:pPr>
        <w:ind w:left="6480" w:hanging="360"/>
      </w:pPr>
      <w:rPr>
        <w:rFonts w:ascii="Wingdings" w:hAnsi="Wingdings" w:hint="default"/>
      </w:rPr>
    </w:lvl>
  </w:abstractNum>
  <w:abstractNum w:abstractNumId="3" w15:restartNumberingAfterBreak="0">
    <w:nsid w:val="21196F55"/>
    <w:multiLevelType w:val="multilevel"/>
    <w:tmpl w:val="E13A1BFA"/>
    <w:lvl w:ilvl="0">
      <w:start w:val="1"/>
      <w:numFmt w:val="lowerLetter"/>
      <w:lvlText w:val="%1."/>
      <w:lvlJc w:val="left"/>
      <w:pPr>
        <w:tabs>
          <w:tab w:val="num" w:pos="1074"/>
        </w:tabs>
        <w:ind w:left="1074" w:hanging="360"/>
      </w:pPr>
    </w:lvl>
    <w:lvl w:ilvl="1" w:tentative="1">
      <w:start w:val="1"/>
      <w:numFmt w:val="lowerLetter"/>
      <w:lvlText w:val="%2."/>
      <w:lvlJc w:val="left"/>
      <w:pPr>
        <w:tabs>
          <w:tab w:val="num" w:pos="1794"/>
        </w:tabs>
        <w:ind w:left="1794" w:hanging="360"/>
      </w:pPr>
    </w:lvl>
    <w:lvl w:ilvl="2" w:tentative="1">
      <w:start w:val="1"/>
      <w:numFmt w:val="lowerLetter"/>
      <w:lvlText w:val="%3."/>
      <w:lvlJc w:val="left"/>
      <w:pPr>
        <w:tabs>
          <w:tab w:val="num" w:pos="2514"/>
        </w:tabs>
        <w:ind w:left="2514" w:hanging="360"/>
      </w:pPr>
    </w:lvl>
    <w:lvl w:ilvl="3" w:tentative="1">
      <w:start w:val="1"/>
      <w:numFmt w:val="lowerLetter"/>
      <w:lvlText w:val="%4."/>
      <w:lvlJc w:val="left"/>
      <w:pPr>
        <w:tabs>
          <w:tab w:val="num" w:pos="3234"/>
        </w:tabs>
        <w:ind w:left="3234" w:hanging="360"/>
      </w:pPr>
    </w:lvl>
    <w:lvl w:ilvl="4" w:tentative="1">
      <w:start w:val="1"/>
      <w:numFmt w:val="lowerLetter"/>
      <w:lvlText w:val="%5."/>
      <w:lvlJc w:val="left"/>
      <w:pPr>
        <w:tabs>
          <w:tab w:val="num" w:pos="3954"/>
        </w:tabs>
        <w:ind w:left="3954" w:hanging="360"/>
      </w:pPr>
    </w:lvl>
    <w:lvl w:ilvl="5" w:tentative="1">
      <w:start w:val="1"/>
      <w:numFmt w:val="lowerLetter"/>
      <w:lvlText w:val="%6."/>
      <w:lvlJc w:val="left"/>
      <w:pPr>
        <w:tabs>
          <w:tab w:val="num" w:pos="4674"/>
        </w:tabs>
        <w:ind w:left="4674" w:hanging="360"/>
      </w:pPr>
    </w:lvl>
    <w:lvl w:ilvl="6" w:tentative="1">
      <w:start w:val="1"/>
      <w:numFmt w:val="lowerLetter"/>
      <w:lvlText w:val="%7."/>
      <w:lvlJc w:val="left"/>
      <w:pPr>
        <w:tabs>
          <w:tab w:val="num" w:pos="5394"/>
        </w:tabs>
        <w:ind w:left="5394" w:hanging="360"/>
      </w:pPr>
    </w:lvl>
    <w:lvl w:ilvl="7" w:tentative="1">
      <w:start w:val="1"/>
      <w:numFmt w:val="lowerLetter"/>
      <w:lvlText w:val="%8."/>
      <w:lvlJc w:val="left"/>
      <w:pPr>
        <w:tabs>
          <w:tab w:val="num" w:pos="6114"/>
        </w:tabs>
        <w:ind w:left="6114" w:hanging="360"/>
      </w:pPr>
    </w:lvl>
    <w:lvl w:ilvl="8" w:tentative="1">
      <w:start w:val="1"/>
      <w:numFmt w:val="lowerLetter"/>
      <w:lvlText w:val="%9."/>
      <w:lvlJc w:val="left"/>
      <w:pPr>
        <w:tabs>
          <w:tab w:val="num" w:pos="6834"/>
        </w:tabs>
        <w:ind w:left="6834" w:hanging="360"/>
      </w:pPr>
    </w:lvl>
  </w:abstractNum>
  <w:abstractNum w:abstractNumId="4" w15:restartNumberingAfterBreak="0">
    <w:nsid w:val="2D957880"/>
    <w:multiLevelType w:val="hybridMultilevel"/>
    <w:tmpl w:val="097AE756"/>
    <w:lvl w:ilvl="0" w:tplc="400A0011">
      <w:start w:val="1"/>
      <w:numFmt w:val="decimal"/>
      <w:lvlText w:val="%1)"/>
      <w:lvlJc w:val="left"/>
      <w:pPr>
        <w:ind w:left="720" w:hanging="360"/>
      </w:pPr>
      <w:rPr>
        <w:rFonts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5" w15:restartNumberingAfterBreak="0">
    <w:nsid w:val="30585C9E"/>
    <w:multiLevelType w:val="hybridMultilevel"/>
    <w:tmpl w:val="AECC71A4"/>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6" w15:restartNumberingAfterBreak="0">
    <w:nsid w:val="32DF5BC2"/>
    <w:multiLevelType w:val="multilevel"/>
    <w:tmpl w:val="903A702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6355FE1"/>
    <w:multiLevelType w:val="hybridMultilevel"/>
    <w:tmpl w:val="A2FC1AC8"/>
    <w:lvl w:ilvl="0" w:tplc="30C8B51C">
      <w:start w:val="1"/>
      <w:numFmt w:val="lowerLetter"/>
      <w:lvlText w:val="%1)"/>
      <w:lvlJc w:val="left"/>
      <w:pPr>
        <w:ind w:left="1137" w:hanging="360"/>
      </w:pPr>
      <w:rPr>
        <w:rFonts w:asciiTheme="minorHAnsi" w:eastAsiaTheme="minorHAnsi" w:hAnsiTheme="minorHAnsi" w:cstheme="minorBidi" w:hint="default"/>
        <w:b/>
        <w:color w:val="auto"/>
        <w:sz w:val="24"/>
      </w:rPr>
    </w:lvl>
    <w:lvl w:ilvl="1" w:tplc="400A0019" w:tentative="1">
      <w:start w:val="1"/>
      <w:numFmt w:val="lowerLetter"/>
      <w:lvlText w:val="%2."/>
      <w:lvlJc w:val="left"/>
      <w:pPr>
        <w:ind w:left="1857" w:hanging="360"/>
      </w:pPr>
    </w:lvl>
    <w:lvl w:ilvl="2" w:tplc="400A001B" w:tentative="1">
      <w:start w:val="1"/>
      <w:numFmt w:val="lowerRoman"/>
      <w:lvlText w:val="%3."/>
      <w:lvlJc w:val="right"/>
      <w:pPr>
        <w:ind w:left="2577" w:hanging="180"/>
      </w:pPr>
    </w:lvl>
    <w:lvl w:ilvl="3" w:tplc="400A000F" w:tentative="1">
      <w:start w:val="1"/>
      <w:numFmt w:val="decimal"/>
      <w:lvlText w:val="%4."/>
      <w:lvlJc w:val="left"/>
      <w:pPr>
        <w:ind w:left="3297" w:hanging="360"/>
      </w:pPr>
    </w:lvl>
    <w:lvl w:ilvl="4" w:tplc="400A0019" w:tentative="1">
      <w:start w:val="1"/>
      <w:numFmt w:val="lowerLetter"/>
      <w:lvlText w:val="%5."/>
      <w:lvlJc w:val="left"/>
      <w:pPr>
        <w:ind w:left="4017" w:hanging="360"/>
      </w:pPr>
    </w:lvl>
    <w:lvl w:ilvl="5" w:tplc="400A001B" w:tentative="1">
      <w:start w:val="1"/>
      <w:numFmt w:val="lowerRoman"/>
      <w:lvlText w:val="%6."/>
      <w:lvlJc w:val="right"/>
      <w:pPr>
        <w:ind w:left="4737" w:hanging="180"/>
      </w:pPr>
    </w:lvl>
    <w:lvl w:ilvl="6" w:tplc="400A000F" w:tentative="1">
      <w:start w:val="1"/>
      <w:numFmt w:val="decimal"/>
      <w:lvlText w:val="%7."/>
      <w:lvlJc w:val="left"/>
      <w:pPr>
        <w:ind w:left="5457" w:hanging="360"/>
      </w:pPr>
    </w:lvl>
    <w:lvl w:ilvl="7" w:tplc="400A0019" w:tentative="1">
      <w:start w:val="1"/>
      <w:numFmt w:val="lowerLetter"/>
      <w:lvlText w:val="%8."/>
      <w:lvlJc w:val="left"/>
      <w:pPr>
        <w:ind w:left="6177" w:hanging="360"/>
      </w:pPr>
    </w:lvl>
    <w:lvl w:ilvl="8" w:tplc="400A001B" w:tentative="1">
      <w:start w:val="1"/>
      <w:numFmt w:val="lowerRoman"/>
      <w:lvlText w:val="%9."/>
      <w:lvlJc w:val="right"/>
      <w:pPr>
        <w:ind w:left="6897" w:hanging="180"/>
      </w:pPr>
    </w:lvl>
  </w:abstractNum>
  <w:abstractNum w:abstractNumId="8" w15:restartNumberingAfterBreak="0">
    <w:nsid w:val="3DEB2DF4"/>
    <w:multiLevelType w:val="hybridMultilevel"/>
    <w:tmpl w:val="7106970E"/>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9" w15:restartNumberingAfterBreak="0">
    <w:nsid w:val="46160598"/>
    <w:multiLevelType w:val="hybridMultilevel"/>
    <w:tmpl w:val="B526180A"/>
    <w:lvl w:ilvl="0" w:tplc="400A000D">
      <w:start w:val="1"/>
      <w:numFmt w:val="bullet"/>
      <w:lvlText w:val=""/>
      <w:lvlJc w:val="left"/>
      <w:pPr>
        <w:ind w:left="720" w:hanging="360"/>
      </w:pPr>
      <w:rPr>
        <w:rFonts w:ascii="Wingdings" w:hAnsi="Wingdings"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0" w15:restartNumberingAfterBreak="0">
    <w:nsid w:val="566A79E0"/>
    <w:multiLevelType w:val="multilevel"/>
    <w:tmpl w:val="CF1E36F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59A605FF"/>
    <w:multiLevelType w:val="hybridMultilevel"/>
    <w:tmpl w:val="43A6A714"/>
    <w:lvl w:ilvl="0" w:tplc="400A000D">
      <w:start w:val="1"/>
      <w:numFmt w:val="bullet"/>
      <w:lvlText w:val=""/>
      <w:lvlJc w:val="left"/>
      <w:pPr>
        <w:ind w:left="777" w:hanging="360"/>
      </w:pPr>
      <w:rPr>
        <w:rFonts w:ascii="Wingdings" w:hAnsi="Wingdings" w:hint="default"/>
      </w:rPr>
    </w:lvl>
    <w:lvl w:ilvl="1" w:tplc="400A0003" w:tentative="1">
      <w:start w:val="1"/>
      <w:numFmt w:val="bullet"/>
      <w:lvlText w:val="o"/>
      <w:lvlJc w:val="left"/>
      <w:pPr>
        <w:ind w:left="1497" w:hanging="360"/>
      </w:pPr>
      <w:rPr>
        <w:rFonts w:ascii="Courier New" w:hAnsi="Courier New" w:cs="Courier New" w:hint="default"/>
      </w:rPr>
    </w:lvl>
    <w:lvl w:ilvl="2" w:tplc="400A0005" w:tentative="1">
      <w:start w:val="1"/>
      <w:numFmt w:val="bullet"/>
      <w:lvlText w:val=""/>
      <w:lvlJc w:val="left"/>
      <w:pPr>
        <w:ind w:left="2217" w:hanging="360"/>
      </w:pPr>
      <w:rPr>
        <w:rFonts w:ascii="Wingdings" w:hAnsi="Wingdings" w:hint="default"/>
      </w:rPr>
    </w:lvl>
    <w:lvl w:ilvl="3" w:tplc="400A0001" w:tentative="1">
      <w:start w:val="1"/>
      <w:numFmt w:val="bullet"/>
      <w:lvlText w:val=""/>
      <w:lvlJc w:val="left"/>
      <w:pPr>
        <w:ind w:left="2937" w:hanging="360"/>
      </w:pPr>
      <w:rPr>
        <w:rFonts w:ascii="Symbol" w:hAnsi="Symbol" w:hint="default"/>
      </w:rPr>
    </w:lvl>
    <w:lvl w:ilvl="4" w:tplc="400A0003" w:tentative="1">
      <w:start w:val="1"/>
      <w:numFmt w:val="bullet"/>
      <w:lvlText w:val="o"/>
      <w:lvlJc w:val="left"/>
      <w:pPr>
        <w:ind w:left="3657" w:hanging="360"/>
      </w:pPr>
      <w:rPr>
        <w:rFonts w:ascii="Courier New" w:hAnsi="Courier New" w:cs="Courier New" w:hint="default"/>
      </w:rPr>
    </w:lvl>
    <w:lvl w:ilvl="5" w:tplc="400A0005" w:tentative="1">
      <w:start w:val="1"/>
      <w:numFmt w:val="bullet"/>
      <w:lvlText w:val=""/>
      <w:lvlJc w:val="left"/>
      <w:pPr>
        <w:ind w:left="4377" w:hanging="360"/>
      </w:pPr>
      <w:rPr>
        <w:rFonts w:ascii="Wingdings" w:hAnsi="Wingdings" w:hint="default"/>
      </w:rPr>
    </w:lvl>
    <w:lvl w:ilvl="6" w:tplc="400A0001" w:tentative="1">
      <w:start w:val="1"/>
      <w:numFmt w:val="bullet"/>
      <w:lvlText w:val=""/>
      <w:lvlJc w:val="left"/>
      <w:pPr>
        <w:ind w:left="5097" w:hanging="360"/>
      </w:pPr>
      <w:rPr>
        <w:rFonts w:ascii="Symbol" w:hAnsi="Symbol" w:hint="default"/>
      </w:rPr>
    </w:lvl>
    <w:lvl w:ilvl="7" w:tplc="400A0003" w:tentative="1">
      <w:start w:val="1"/>
      <w:numFmt w:val="bullet"/>
      <w:lvlText w:val="o"/>
      <w:lvlJc w:val="left"/>
      <w:pPr>
        <w:ind w:left="5817" w:hanging="360"/>
      </w:pPr>
      <w:rPr>
        <w:rFonts w:ascii="Courier New" w:hAnsi="Courier New" w:cs="Courier New" w:hint="default"/>
      </w:rPr>
    </w:lvl>
    <w:lvl w:ilvl="8" w:tplc="400A0005" w:tentative="1">
      <w:start w:val="1"/>
      <w:numFmt w:val="bullet"/>
      <w:lvlText w:val=""/>
      <w:lvlJc w:val="left"/>
      <w:pPr>
        <w:ind w:left="6537" w:hanging="360"/>
      </w:pPr>
      <w:rPr>
        <w:rFonts w:ascii="Wingdings" w:hAnsi="Wingdings" w:hint="default"/>
      </w:rPr>
    </w:lvl>
  </w:abstractNum>
  <w:abstractNum w:abstractNumId="12" w15:restartNumberingAfterBreak="0">
    <w:nsid w:val="5C4D4CF7"/>
    <w:multiLevelType w:val="hybridMultilevel"/>
    <w:tmpl w:val="087CC354"/>
    <w:lvl w:ilvl="0" w:tplc="400A0001">
      <w:start w:val="1"/>
      <w:numFmt w:val="bullet"/>
      <w:lvlText w:val=""/>
      <w:lvlJc w:val="left"/>
      <w:pPr>
        <w:ind w:left="360" w:hanging="360"/>
      </w:pPr>
      <w:rPr>
        <w:rFonts w:ascii="Symbol" w:hAnsi="Symbol" w:hint="default"/>
      </w:rPr>
    </w:lvl>
    <w:lvl w:ilvl="1" w:tplc="400A0003">
      <w:start w:val="1"/>
      <w:numFmt w:val="bullet"/>
      <w:lvlText w:val="o"/>
      <w:lvlJc w:val="left"/>
      <w:pPr>
        <w:ind w:left="1080" w:hanging="360"/>
      </w:pPr>
      <w:rPr>
        <w:rFonts w:ascii="Courier New" w:hAnsi="Courier New" w:cs="Courier New" w:hint="default"/>
      </w:rPr>
    </w:lvl>
    <w:lvl w:ilvl="2" w:tplc="400A0005">
      <w:start w:val="1"/>
      <w:numFmt w:val="bullet"/>
      <w:lvlText w:val=""/>
      <w:lvlJc w:val="left"/>
      <w:pPr>
        <w:ind w:left="1800" w:hanging="360"/>
      </w:pPr>
      <w:rPr>
        <w:rFonts w:ascii="Wingdings" w:hAnsi="Wingdings" w:hint="default"/>
      </w:rPr>
    </w:lvl>
    <w:lvl w:ilvl="3" w:tplc="400A0001">
      <w:start w:val="1"/>
      <w:numFmt w:val="bullet"/>
      <w:lvlText w:val=""/>
      <w:lvlJc w:val="left"/>
      <w:pPr>
        <w:ind w:left="2520" w:hanging="360"/>
      </w:pPr>
      <w:rPr>
        <w:rFonts w:ascii="Symbol" w:hAnsi="Symbol" w:hint="default"/>
      </w:rPr>
    </w:lvl>
    <w:lvl w:ilvl="4" w:tplc="400A0003">
      <w:start w:val="1"/>
      <w:numFmt w:val="bullet"/>
      <w:lvlText w:val="o"/>
      <w:lvlJc w:val="left"/>
      <w:pPr>
        <w:ind w:left="3240" w:hanging="360"/>
      </w:pPr>
      <w:rPr>
        <w:rFonts w:ascii="Courier New" w:hAnsi="Courier New" w:cs="Courier New" w:hint="default"/>
      </w:rPr>
    </w:lvl>
    <w:lvl w:ilvl="5" w:tplc="400A0005">
      <w:start w:val="1"/>
      <w:numFmt w:val="bullet"/>
      <w:lvlText w:val=""/>
      <w:lvlJc w:val="left"/>
      <w:pPr>
        <w:ind w:left="3960" w:hanging="360"/>
      </w:pPr>
      <w:rPr>
        <w:rFonts w:ascii="Wingdings" w:hAnsi="Wingdings" w:hint="default"/>
      </w:rPr>
    </w:lvl>
    <w:lvl w:ilvl="6" w:tplc="400A0001">
      <w:start w:val="1"/>
      <w:numFmt w:val="bullet"/>
      <w:lvlText w:val=""/>
      <w:lvlJc w:val="left"/>
      <w:pPr>
        <w:ind w:left="4680" w:hanging="360"/>
      </w:pPr>
      <w:rPr>
        <w:rFonts w:ascii="Symbol" w:hAnsi="Symbol" w:hint="default"/>
      </w:rPr>
    </w:lvl>
    <w:lvl w:ilvl="7" w:tplc="400A0003">
      <w:start w:val="1"/>
      <w:numFmt w:val="bullet"/>
      <w:lvlText w:val="o"/>
      <w:lvlJc w:val="left"/>
      <w:pPr>
        <w:ind w:left="5400" w:hanging="360"/>
      </w:pPr>
      <w:rPr>
        <w:rFonts w:ascii="Courier New" w:hAnsi="Courier New" w:cs="Courier New" w:hint="default"/>
      </w:rPr>
    </w:lvl>
    <w:lvl w:ilvl="8" w:tplc="400A0005">
      <w:start w:val="1"/>
      <w:numFmt w:val="bullet"/>
      <w:lvlText w:val=""/>
      <w:lvlJc w:val="left"/>
      <w:pPr>
        <w:ind w:left="6120" w:hanging="360"/>
      </w:pPr>
      <w:rPr>
        <w:rFonts w:ascii="Wingdings" w:hAnsi="Wingdings" w:hint="default"/>
      </w:rPr>
    </w:lvl>
  </w:abstractNum>
  <w:abstractNum w:abstractNumId="13" w15:restartNumberingAfterBreak="0">
    <w:nsid w:val="65140434"/>
    <w:multiLevelType w:val="hybridMultilevel"/>
    <w:tmpl w:val="454AB506"/>
    <w:lvl w:ilvl="0" w:tplc="2AEAACBC">
      <w:start w:val="1"/>
      <w:numFmt w:val="lowerLetter"/>
      <w:lvlText w:val="%1)"/>
      <w:lvlJc w:val="left"/>
      <w:pPr>
        <w:ind w:left="1800" w:hanging="360"/>
      </w:pPr>
      <w:rPr>
        <w:rFonts w:hint="default"/>
      </w:rPr>
    </w:lvl>
    <w:lvl w:ilvl="1" w:tplc="400A0019" w:tentative="1">
      <w:start w:val="1"/>
      <w:numFmt w:val="lowerLetter"/>
      <w:lvlText w:val="%2."/>
      <w:lvlJc w:val="left"/>
      <w:pPr>
        <w:ind w:left="2520" w:hanging="360"/>
      </w:pPr>
    </w:lvl>
    <w:lvl w:ilvl="2" w:tplc="400A001B" w:tentative="1">
      <w:start w:val="1"/>
      <w:numFmt w:val="lowerRoman"/>
      <w:lvlText w:val="%3."/>
      <w:lvlJc w:val="right"/>
      <w:pPr>
        <w:ind w:left="3240" w:hanging="180"/>
      </w:pPr>
    </w:lvl>
    <w:lvl w:ilvl="3" w:tplc="400A000F" w:tentative="1">
      <w:start w:val="1"/>
      <w:numFmt w:val="decimal"/>
      <w:lvlText w:val="%4."/>
      <w:lvlJc w:val="left"/>
      <w:pPr>
        <w:ind w:left="3960" w:hanging="360"/>
      </w:pPr>
    </w:lvl>
    <w:lvl w:ilvl="4" w:tplc="400A0019" w:tentative="1">
      <w:start w:val="1"/>
      <w:numFmt w:val="lowerLetter"/>
      <w:lvlText w:val="%5."/>
      <w:lvlJc w:val="left"/>
      <w:pPr>
        <w:ind w:left="4680" w:hanging="360"/>
      </w:pPr>
    </w:lvl>
    <w:lvl w:ilvl="5" w:tplc="400A001B" w:tentative="1">
      <w:start w:val="1"/>
      <w:numFmt w:val="lowerRoman"/>
      <w:lvlText w:val="%6."/>
      <w:lvlJc w:val="right"/>
      <w:pPr>
        <w:ind w:left="5400" w:hanging="180"/>
      </w:pPr>
    </w:lvl>
    <w:lvl w:ilvl="6" w:tplc="400A000F" w:tentative="1">
      <w:start w:val="1"/>
      <w:numFmt w:val="decimal"/>
      <w:lvlText w:val="%7."/>
      <w:lvlJc w:val="left"/>
      <w:pPr>
        <w:ind w:left="6120" w:hanging="360"/>
      </w:pPr>
    </w:lvl>
    <w:lvl w:ilvl="7" w:tplc="400A0019" w:tentative="1">
      <w:start w:val="1"/>
      <w:numFmt w:val="lowerLetter"/>
      <w:lvlText w:val="%8."/>
      <w:lvlJc w:val="left"/>
      <w:pPr>
        <w:ind w:left="6840" w:hanging="360"/>
      </w:pPr>
    </w:lvl>
    <w:lvl w:ilvl="8" w:tplc="400A001B" w:tentative="1">
      <w:start w:val="1"/>
      <w:numFmt w:val="lowerRoman"/>
      <w:lvlText w:val="%9."/>
      <w:lvlJc w:val="right"/>
      <w:pPr>
        <w:ind w:left="7560" w:hanging="180"/>
      </w:pPr>
    </w:lvl>
  </w:abstractNum>
  <w:abstractNum w:abstractNumId="14" w15:restartNumberingAfterBreak="0">
    <w:nsid w:val="6B666AE9"/>
    <w:multiLevelType w:val="hybridMultilevel"/>
    <w:tmpl w:val="9B9C1ADA"/>
    <w:lvl w:ilvl="0" w:tplc="400A000B">
      <w:start w:val="1"/>
      <w:numFmt w:val="bullet"/>
      <w:lvlText w:val=""/>
      <w:lvlJc w:val="left"/>
      <w:pPr>
        <w:ind w:left="720" w:hanging="360"/>
      </w:pPr>
      <w:rPr>
        <w:rFonts w:ascii="Wingdings" w:hAnsi="Wingdings"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5" w15:restartNumberingAfterBreak="0">
    <w:nsid w:val="6CA658F0"/>
    <w:multiLevelType w:val="hybridMultilevel"/>
    <w:tmpl w:val="F2569658"/>
    <w:lvl w:ilvl="0" w:tplc="400A0011">
      <w:start w:val="1"/>
      <w:numFmt w:val="decimal"/>
      <w:lvlText w:val="%1)"/>
      <w:lvlJc w:val="left"/>
      <w:pPr>
        <w:ind w:left="1440" w:hanging="360"/>
      </w:pPr>
    </w:lvl>
    <w:lvl w:ilvl="1" w:tplc="400A0019" w:tentative="1">
      <w:start w:val="1"/>
      <w:numFmt w:val="lowerLetter"/>
      <w:lvlText w:val="%2."/>
      <w:lvlJc w:val="left"/>
      <w:pPr>
        <w:ind w:left="2160" w:hanging="360"/>
      </w:pPr>
    </w:lvl>
    <w:lvl w:ilvl="2" w:tplc="400A001B" w:tentative="1">
      <w:start w:val="1"/>
      <w:numFmt w:val="lowerRoman"/>
      <w:lvlText w:val="%3."/>
      <w:lvlJc w:val="right"/>
      <w:pPr>
        <w:ind w:left="2880" w:hanging="180"/>
      </w:pPr>
    </w:lvl>
    <w:lvl w:ilvl="3" w:tplc="400A000F" w:tentative="1">
      <w:start w:val="1"/>
      <w:numFmt w:val="decimal"/>
      <w:lvlText w:val="%4."/>
      <w:lvlJc w:val="left"/>
      <w:pPr>
        <w:ind w:left="3600" w:hanging="360"/>
      </w:pPr>
    </w:lvl>
    <w:lvl w:ilvl="4" w:tplc="400A0019" w:tentative="1">
      <w:start w:val="1"/>
      <w:numFmt w:val="lowerLetter"/>
      <w:lvlText w:val="%5."/>
      <w:lvlJc w:val="left"/>
      <w:pPr>
        <w:ind w:left="4320" w:hanging="360"/>
      </w:pPr>
    </w:lvl>
    <w:lvl w:ilvl="5" w:tplc="400A001B" w:tentative="1">
      <w:start w:val="1"/>
      <w:numFmt w:val="lowerRoman"/>
      <w:lvlText w:val="%6."/>
      <w:lvlJc w:val="right"/>
      <w:pPr>
        <w:ind w:left="5040" w:hanging="180"/>
      </w:pPr>
    </w:lvl>
    <w:lvl w:ilvl="6" w:tplc="400A000F" w:tentative="1">
      <w:start w:val="1"/>
      <w:numFmt w:val="decimal"/>
      <w:lvlText w:val="%7."/>
      <w:lvlJc w:val="left"/>
      <w:pPr>
        <w:ind w:left="5760" w:hanging="360"/>
      </w:pPr>
    </w:lvl>
    <w:lvl w:ilvl="7" w:tplc="400A0019" w:tentative="1">
      <w:start w:val="1"/>
      <w:numFmt w:val="lowerLetter"/>
      <w:lvlText w:val="%8."/>
      <w:lvlJc w:val="left"/>
      <w:pPr>
        <w:ind w:left="6480" w:hanging="360"/>
      </w:pPr>
    </w:lvl>
    <w:lvl w:ilvl="8" w:tplc="400A001B" w:tentative="1">
      <w:start w:val="1"/>
      <w:numFmt w:val="lowerRoman"/>
      <w:lvlText w:val="%9."/>
      <w:lvlJc w:val="right"/>
      <w:pPr>
        <w:ind w:left="7200" w:hanging="180"/>
      </w:pPr>
    </w:lvl>
  </w:abstractNum>
  <w:abstractNum w:abstractNumId="16" w15:restartNumberingAfterBreak="0">
    <w:nsid w:val="723228AC"/>
    <w:multiLevelType w:val="hybridMultilevel"/>
    <w:tmpl w:val="E250A55A"/>
    <w:lvl w:ilvl="0" w:tplc="62DE4D9C">
      <w:start w:val="1"/>
      <w:numFmt w:val="lowerLetter"/>
      <w:lvlText w:val="%1)"/>
      <w:lvlJc w:val="left"/>
      <w:pPr>
        <w:ind w:left="1137" w:hanging="360"/>
      </w:pPr>
      <w:rPr>
        <w:rFonts w:hint="default"/>
      </w:rPr>
    </w:lvl>
    <w:lvl w:ilvl="1" w:tplc="400A0019" w:tentative="1">
      <w:start w:val="1"/>
      <w:numFmt w:val="lowerLetter"/>
      <w:lvlText w:val="%2."/>
      <w:lvlJc w:val="left"/>
      <w:pPr>
        <w:ind w:left="1857" w:hanging="360"/>
      </w:pPr>
    </w:lvl>
    <w:lvl w:ilvl="2" w:tplc="400A001B" w:tentative="1">
      <w:start w:val="1"/>
      <w:numFmt w:val="lowerRoman"/>
      <w:lvlText w:val="%3."/>
      <w:lvlJc w:val="right"/>
      <w:pPr>
        <w:ind w:left="2577" w:hanging="180"/>
      </w:pPr>
    </w:lvl>
    <w:lvl w:ilvl="3" w:tplc="400A000F" w:tentative="1">
      <w:start w:val="1"/>
      <w:numFmt w:val="decimal"/>
      <w:lvlText w:val="%4."/>
      <w:lvlJc w:val="left"/>
      <w:pPr>
        <w:ind w:left="3297" w:hanging="360"/>
      </w:pPr>
    </w:lvl>
    <w:lvl w:ilvl="4" w:tplc="400A0019" w:tentative="1">
      <w:start w:val="1"/>
      <w:numFmt w:val="lowerLetter"/>
      <w:lvlText w:val="%5."/>
      <w:lvlJc w:val="left"/>
      <w:pPr>
        <w:ind w:left="4017" w:hanging="360"/>
      </w:pPr>
    </w:lvl>
    <w:lvl w:ilvl="5" w:tplc="400A001B" w:tentative="1">
      <w:start w:val="1"/>
      <w:numFmt w:val="lowerRoman"/>
      <w:lvlText w:val="%6."/>
      <w:lvlJc w:val="right"/>
      <w:pPr>
        <w:ind w:left="4737" w:hanging="180"/>
      </w:pPr>
    </w:lvl>
    <w:lvl w:ilvl="6" w:tplc="400A000F" w:tentative="1">
      <w:start w:val="1"/>
      <w:numFmt w:val="decimal"/>
      <w:lvlText w:val="%7."/>
      <w:lvlJc w:val="left"/>
      <w:pPr>
        <w:ind w:left="5457" w:hanging="360"/>
      </w:pPr>
    </w:lvl>
    <w:lvl w:ilvl="7" w:tplc="400A0019" w:tentative="1">
      <w:start w:val="1"/>
      <w:numFmt w:val="lowerLetter"/>
      <w:lvlText w:val="%8."/>
      <w:lvlJc w:val="left"/>
      <w:pPr>
        <w:ind w:left="6177" w:hanging="360"/>
      </w:pPr>
    </w:lvl>
    <w:lvl w:ilvl="8" w:tplc="400A001B" w:tentative="1">
      <w:start w:val="1"/>
      <w:numFmt w:val="lowerRoman"/>
      <w:lvlText w:val="%9."/>
      <w:lvlJc w:val="right"/>
      <w:pPr>
        <w:ind w:left="6897" w:hanging="180"/>
      </w:pPr>
    </w:lvl>
  </w:abstractNum>
  <w:num w:numId="1">
    <w:abstractNumId w:val="3"/>
  </w:num>
  <w:num w:numId="2">
    <w:abstractNumId w:val="10"/>
  </w:num>
  <w:num w:numId="3">
    <w:abstractNumId w:val="11"/>
  </w:num>
  <w:num w:numId="4">
    <w:abstractNumId w:val="16"/>
  </w:num>
  <w:num w:numId="5">
    <w:abstractNumId w:val="7"/>
  </w:num>
  <w:num w:numId="6">
    <w:abstractNumId w:val="12"/>
  </w:num>
  <w:num w:numId="7">
    <w:abstractNumId w:val="2"/>
  </w:num>
  <w:num w:numId="8">
    <w:abstractNumId w:val="6"/>
  </w:num>
  <w:num w:numId="9">
    <w:abstractNumId w:val="9"/>
  </w:num>
  <w:num w:numId="10">
    <w:abstractNumId w:val="0"/>
  </w:num>
  <w:num w:numId="11">
    <w:abstractNumId w:val="1"/>
  </w:num>
  <w:num w:numId="12">
    <w:abstractNumId w:val="8"/>
  </w:num>
  <w:num w:numId="13">
    <w:abstractNumId w:val="14"/>
  </w:num>
  <w:num w:numId="14">
    <w:abstractNumId w:val="5"/>
  </w:num>
  <w:num w:numId="15">
    <w:abstractNumId w:val="15"/>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79F"/>
    <w:rsid w:val="00010E01"/>
    <w:rsid w:val="00014FF2"/>
    <w:rsid w:val="0002015C"/>
    <w:rsid w:val="00021A63"/>
    <w:rsid w:val="0003347E"/>
    <w:rsid w:val="00054FE0"/>
    <w:rsid w:val="00062063"/>
    <w:rsid w:val="00092626"/>
    <w:rsid w:val="000969C0"/>
    <w:rsid w:val="000A1AB7"/>
    <w:rsid w:val="000B399B"/>
    <w:rsid w:val="000C5851"/>
    <w:rsid w:val="000D0940"/>
    <w:rsid w:val="000D5B95"/>
    <w:rsid w:val="000E4341"/>
    <w:rsid w:val="000E6AEF"/>
    <w:rsid w:val="00100F00"/>
    <w:rsid w:val="00107C22"/>
    <w:rsid w:val="0011107D"/>
    <w:rsid w:val="00112EF8"/>
    <w:rsid w:val="001271BF"/>
    <w:rsid w:val="00127939"/>
    <w:rsid w:val="00134566"/>
    <w:rsid w:val="00146F14"/>
    <w:rsid w:val="00155B7C"/>
    <w:rsid w:val="00161C2D"/>
    <w:rsid w:val="00162E92"/>
    <w:rsid w:val="00175BCA"/>
    <w:rsid w:val="0018030A"/>
    <w:rsid w:val="00186D5C"/>
    <w:rsid w:val="00194925"/>
    <w:rsid w:val="0019602D"/>
    <w:rsid w:val="001A1BB4"/>
    <w:rsid w:val="001A332F"/>
    <w:rsid w:val="001C4DE0"/>
    <w:rsid w:val="001C73E4"/>
    <w:rsid w:val="001C7746"/>
    <w:rsid w:val="001E56DD"/>
    <w:rsid w:val="001E7DB8"/>
    <w:rsid w:val="001F373B"/>
    <w:rsid w:val="001F6FC3"/>
    <w:rsid w:val="002000B8"/>
    <w:rsid w:val="00202117"/>
    <w:rsid w:val="002167D2"/>
    <w:rsid w:val="00221560"/>
    <w:rsid w:val="00222865"/>
    <w:rsid w:val="00223875"/>
    <w:rsid w:val="002244E4"/>
    <w:rsid w:val="00224E0E"/>
    <w:rsid w:val="002318BA"/>
    <w:rsid w:val="00232B0F"/>
    <w:rsid w:val="00244E08"/>
    <w:rsid w:val="0024735F"/>
    <w:rsid w:val="00253731"/>
    <w:rsid w:val="002724A3"/>
    <w:rsid w:val="002A46BC"/>
    <w:rsid w:val="002A4D5B"/>
    <w:rsid w:val="002A756B"/>
    <w:rsid w:val="002F5CFC"/>
    <w:rsid w:val="00302813"/>
    <w:rsid w:val="00310454"/>
    <w:rsid w:val="00311FBE"/>
    <w:rsid w:val="00342966"/>
    <w:rsid w:val="003708C3"/>
    <w:rsid w:val="00380C13"/>
    <w:rsid w:val="00384D01"/>
    <w:rsid w:val="00394459"/>
    <w:rsid w:val="003A2CD4"/>
    <w:rsid w:val="003A2E7D"/>
    <w:rsid w:val="003A6F0B"/>
    <w:rsid w:val="003A73DD"/>
    <w:rsid w:val="003D7A0A"/>
    <w:rsid w:val="003E7976"/>
    <w:rsid w:val="004113C4"/>
    <w:rsid w:val="00411536"/>
    <w:rsid w:val="00416A6D"/>
    <w:rsid w:val="00421853"/>
    <w:rsid w:val="00450AAF"/>
    <w:rsid w:val="004519E8"/>
    <w:rsid w:val="00456B01"/>
    <w:rsid w:val="00463A63"/>
    <w:rsid w:val="00470F1E"/>
    <w:rsid w:val="00476703"/>
    <w:rsid w:val="00484F1C"/>
    <w:rsid w:val="0048646D"/>
    <w:rsid w:val="00490D48"/>
    <w:rsid w:val="004960AA"/>
    <w:rsid w:val="00496C83"/>
    <w:rsid w:val="004B4FB1"/>
    <w:rsid w:val="004C2B19"/>
    <w:rsid w:val="004C4A05"/>
    <w:rsid w:val="004D3C15"/>
    <w:rsid w:val="004D68D1"/>
    <w:rsid w:val="004D7A17"/>
    <w:rsid w:val="0052149E"/>
    <w:rsid w:val="00522414"/>
    <w:rsid w:val="00523EC6"/>
    <w:rsid w:val="00524F9A"/>
    <w:rsid w:val="00544DAD"/>
    <w:rsid w:val="0054555B"/>
    <w:rsid w:val="005571F6"/>
    <w:rsid w:val="0056675D"/>
    <w:rsid w:val="00576804"/>
    <w:rsid w:val="00593215"/>
    <w:rsid w:val="005B4F6E"/>
    <w:rsid w:val="005D231A"/>
    <w:rsid w:val="005F0466"/>
    <w:rsid w:val="005F49D6"/>
    <w:rsid w:val="00603FFA"/>
    <w:rsid w:val="00627DCD"/>
    <w:rsid w:val="006316CD"/>
    <w:rsid w:val="00636784"/>
    <w:rsid w:val="006410A5"/>
    <w:rsid w:val="0066240F"/>
    <w:rsid w:val="006938C3"/>
    <w:rsid w:val="00693E17"/>
    <w:rsid w:val="006A6A5C"/>
    <w:rsid w:val="006E1676"/>
    <w:rsid w:val="006E448E"/>
    <w:rsid w:val="007004F6"/>
    <w:rsid w:val="007167F1"/>
    <w:rsid w:val="007223BC"/>
    <w:rsid w:val="007249C4"/>
    <w:rsid w:val="00725A8F"/>
    <w:rsid w:val="007304CB"/>
    <w:rsid w:val="0073188A"/>
    <w:rsid w:val="00753572"/>
    <w:rsid w:val="00754846"/>
    <w:rsid w:val="00765C59"/>
    <w:rsid w:val="00773FF1"/>
    <w:rsid w:val="00780DAD"/>
    <w:rsid w:val="007867C8"/>
    <w:rsid w:val="00791152"/>
    <w:rsid w:val="007A1104"/>
    <w:rsid w:val="007C0C99"/>
    <w:rsid w:val="007C0CD7"/>
    <w:rsid w:val="007E16AF"/>
    <w:rsid w:val="007E2070"/>
    <w:rsid w:val="007F16B3"/>
    <w:rsid w:val="007F6B4D"/>
    <w:rsid w:val="0081539F"/>
    <w:rsid w:val="00817316"/>
    <w:rsid w:val="00821344"/>
    <w:rsid w:val="00853C8D"/>
    <w:rsid w:val="0086037A"/>
    <w:rsid w:val="00862E8F"/>
    <w:rsid w:val="008776F2"/>
    <w:rsid w:val="00884A97"/>
    <w:rsid w:val="008864FA"/>
    <w:rsid w:val="008A1EF1"/>
    <w:rsid w:val="008A217C"/>
    <w:rsid w:val="008E32F2"/>
    <w:rsid w:val="008E6CAE"/>
    <w:rsid w:val="00913A68"/>
    <w:rsid w:val="009375B7"/>
    <w:rsid w:val="00954B9A"/>
    <w:rsid w:val="009624F1"/>
    <w:rsid w:val="009645CB"/>
    <w:rsid w:val="009A099A"/>
    <w:rsid w:val="009A6569"/>
    <w:rsid w:val="009B30E3"/>
    <w:rsid w:val="009F34E1"/>
    <w:rsid w:val="00A60151"/>
    <w:rsid w:val="00A6715F"/>
    <w:rsid w:val="00A71F81"/>
    <w:rsid w:val="00A72A1B"/>
    <w:rsid w:val="00A77830"/>
    <w:rsid w:val="00AB6EAC"/>
    <w:rsid w:val="00AC56DA"/>
    <w:rsid w:val="00AD30D2"/>
    <w:rsid w:val="00AF3B10"/>
    <w:rsid w:val="00AF581C"/>
    <w:rsid w:val="00AF6D7F"/>
    <w:rsid w:val="00B04291"/>
    <w:rsid w:val="00B13600"/>
    <w:rsid w:val="00B15349"/>
    <w:rsid w:val="00B162F8"/>
    <w:rsid w:val="00B21855"/>
    <w:rsid w:val="00B254BC"/>
    <w:rsid w:val="00B36DB7"/>
    <w:rsid w:val="00B533B3"/>
    <w:rsid w:val="00B557D1"/>
    <w:rsid w:val="00B5656C"/>
    <w:rsid w:val="00B60365"/>
    <w:rsid w:val="00BA7FF6"/>
    <w:rsid w:val="00BC4733"/>
    <w:rsid w:val="00BC5C0F"/>
    <w:rsid w:val="00C226D2"/>
    <w:rsid w:val="00C456C9"/>
    <w:rsid w:val="00C73198"/>
    <w:rsid w:val="00C775CC"/>
    <w:rsid w:val="00C95F68"/>
    <w:rsid w:val="00C9715F"/>
    <w:rsid w:val="00CC5154"/>
    <w:rsid w:val="00CC7B6E"/>
    <w:rsid w:val="00CD27F4"/>
    <w:rsid w:val="00CD6DEB"/>
    <w:rsid w:val="00CE7E53"/>
    <w:rsid w:val="00D02674"/>
    <w:rsid w:val="00D066DA"/>
    <w:rsid w:val="00D2755D"/>
    <w:rsid w:val="00D359D8"/>
    <w:rsid w:val="00D36B60"/>
    <w:rsid w:val="00D60087"/>
    <w:rsid w:val="00D60B19"/>
    <w:rsid w:val="00D66097"/>
    <w:rsid w:val="00D67A23"/>
    <w:rsid w:val="00D717BF"/>
    <w:rsid w:val="00D746FE"/>
    <w:rsid w:val="00D74F4D"/>
    <w:rsid w:val="00D82AB1"/>
    <w:rsid w:val="00D8508A"/>
    <w:rsid w:val="00D967BE"/>
    <w:rsid w:val="00DA0AD5"/>
    <w:rsid w:val="00DC2905"/>
    <w:rsid w:val="00DC7DE7"/>
    <w:rsid w:val="00DE779F"/>
    <w:rsid w:val="00E2131F"/>
    <w:rsid w:val="00E3592F"/>
    <w:rsid w:val="00E53D6B"/>
    <w:rsid w:val="00E75BB4"/>
    <w:rsid w:val="00E82032"/>
    <w:rsid w:val="00E96781"/>
    <w:rsid w:val="00EA3870"/>
    <w:rsid w:val="00EA436E"/>
    <w:rsid w:val="00EA5398"/>
    <w:rsid w:val="00EA712D"/>
    <w:rsid w:val="00EC4F8E"/>
    <w:rsid w:val="00EF25A3"/>
    <w:rsid w:val="00F1070B"/>
    <w:rsid w:val="00F2134B"/>
    <w:rsid w:val="00F21B4A"/>
    <w:rsid w:val="00F27B40"/>
    <w:rsid w:val="00F345E5"/>
    <w:rsid w:val="00F35086"/>
    <w:rsid w:val="00F4108B"/>
    <w:rsid w:val="00F42210"/>
    <w:rsid w:val="00F4314D"/>
    <w:rsid w:val="00F44AA9"/>
    <w:rsid w:val="00F63380"/>
    <w:rsid w:val="00F737B4"/>
    <w:rsid w:val="00F8057C"/>
    <w:rsid w:val="00F84B61"/>
    <w:rsid w:val="00F951A8"/>
    <w:rsid w:val="00FA447B"/>
    <w:rsid w:val="00FC7E17"/>
    <w:rsid w:val="00FD4143"/>
    <w:rsid w:val="62762CFD"/>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56AD6"/>
  <w15:chartTrackingRefBased/>
  <w15:docId w15:val="{EA321E9A-CACD-4229-B82C-8E890C824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B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146F14"/>
    <w:pPr>
      <w:keepNext/>
      <w:keepLines/>
      <w:spacing w:before="240" w:after="0"/>
      <w:outlineLvl w:val="0"/>
    </w:pPr>
    <w:rPr>
      <w:rFonts w:asciiTheme="majorHAnsi" w:eastAsiaTheme="majorEastAsia" w:hAnsiTheme="majorHAnsi" w:cstheme="majorBidi"/>
      <w:color w:val="2E74B5" w:themeColor="accent1" w:themeShade="BF"/>
      <w:sz w:val="32"/>
      <w:szCs w:val="32"/>
      <w:lang w:eastAsia="es-B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9321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93215"/>
    <w:rPr>
      <w:rFonts w:ascii="Segoe UI" w:hAnsi="Segoe UI" w:cs="Segoe UI"/>
      <w:sz w:val="18"/>
      <w:szCs w:val="18"/>
    </w:rPr>
  </w:style>
  <w:style w:type="character" w:styleId="Hipervnculo">
    <w:name w:val="Hyperlink"/>
    <w:basedOn w:val="Fuentedeprrafopredeter"/>
    <w:uiPriority w:val="99"/>
    <w:unhideWhenUsed/>
    <w:rsid w:val="00F27B40"/>
    <w:rPr>
      <w:color w:val="0563C1" w:themeColor="hyperlink"/>
      <w:u w:val="single"/>
    </w:rPr>
  </w:style>
  <w:style w:type="paragraph" w:styleId="Prrafodelista">
    <w:name w:val="List Paragraph"/>
    <w:basedOn w:val="Normal"/>
    <w:uiPriority w:val="34"/>
    <w:qFormat/>
    <w:rsid w:val="00576804"/>
    <w:pPr>
      <w:ind w:left="720"/>
      <w:contextualSpacing/>
    </w:pPr>
  </w:style>
  <w:style w:type="table" w:styleId="Tablaconcuadrcula">
    <w:name w:val="Table Grid"/>
    <w:basedOn w:val="Tablanormal"/>
    <w:uiPriority w:val="39"/>
    <w:rsid w:val="006E448E"/>
    <w:pPr>
      <w:spacing w:after="0" w:line="240" w:lineRule="auto"/>
    </w:pPr>
    <w:rPr>
      <w:color w:val="000000" w:themeColor="text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380C1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0C13"/>
  </w:style>
  <w:style w:type="paragraph" w:styleId="Piedepgina">
    <w:name w:val="footer"/>
    <w:basedOn w:val="Normal"/>
    <w:link w:val="PiedepginaCar"/>
    <w:uiPriority w:val="99"/>
    <w:unhideWhenUsed/>
    <w:rsid w:val="00380C1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0C13"/>
  </w:style>
  <w:style w:type="paragraph" w:styleId="Textonotapie">
    <w:name w:val="footnote text"/>
    <w:basedOn w:val="Normal"/>
    <w:link w:val="TextonotapieCar"/>
    <w:uiPriority w:val="99"/>
    <w:semiHidden/>
    <w:unhideWhenUsed/>
    <w:rsid w:val="0022156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21560"/>
    <w:rPr>
      <w:sz w:val="20"/>
      <w:szCs w:val="20"/>
    </w:rPr>
  </w:style>
  <w:style w:type="character" w:styleId="Refdenotaalpie">
    <w:name w:val="footnote reference"/>
    <w:basedOn w:val="Fuentedeprrafopredeter"/>
    <w:uiPriority w:val="99"/>
    <w:semiHidden/>
    <w:unhideWhenUsed/>
    <w:rsid w:val="00221560"/>
    <w:rPr>
      <w:vertAlign w:val="superscript"/>
    </w:rPr>
  </w:style>
  <w:style w:type="character" w:customStyle="1" w:styleId="Ttulo1Car">
    <w:name w:val="Título 1 Car"/>
    <w:basedOn w:val="Fuentedeprrafopredeter"/>
    <w:link w:val="Ttulo1"/>
    <w:uiPriority w:val="9"/>
    <w:rsid w:val="00146F14"/>
    <w:rPr>
      <w:rFonts w:asciiTheme="majorHAnsi" w:eastAsiaTheme="majorEastAsia" w:hAnsiTheme="majorHAnsi" w:cstheme="majorBidi"/>
      <w:color w:val="2E74B5" w:themeColor="accent1" w:themeShade="BF"/>
      <w:sz w:val="32"/>
      <w:szCs w:val="32"/>
      <w:lang w:eastAsia="es-BO"/>
    </w:rPr>
  </w:style>
  <w:style w:type="paragraph" w:styleId="Bibliografa">
    <w:name w:val="Bibliography"/>
    <w:basedOn w:val="Normal"/>
    <w:next w:val="Normal"/>
    <w:uiPriority w:val="37"/>
    <w:unhideWhenUsed/>
    <w:rsid w:val="00146F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9310">
      <w:bodyDiv w:val="1"/>
      <w:marLeft w:val="0"/>
      <w:marRight w:val="0"/>
      <w:marTop w:val="0"/>
      <w:marBottom w:val="0"/>
      <w:divBdr>
        <w:top w:val="none" w:sz="0" w:space="0" w:color="auto"/>
        <w:left w:val="none" w:sz="0" w:space="0" w:color="auto"/>
        <w:bottom w:val="none" w:sz="0" w:space="0" w:color="auto"/>
        <w:right w:val="none" w:sz="0" w:space="0" w:color="auto"/>
      </w:divBdr>
    </w:div>
    <w:div w:id="25638253">
      <w:bodyDiv w:val="1"/>
      <w:marLeft w:val="0"/>
      <w:marRight w:val="0"/>
      <w:marTop w:val="0"/>
      <w:marBottom w:val="0"/>
      <w:divBdr>
        <w:top w:val="none" w:sz="0" w:space="0" w:color="auto"/>
        <w:left w:val="none" w:sz="0" w:space="0" w:color="auto"/>
        <w:bottom w:val="none" w:sz="0" w:space="0" w:color="auto"/>
        <w:right w:val="none" w:sz="0" w:space="0" w:color="auto"/>
      </w:divBdr>
    </w:div>
    <w:div w:id="60833698">
      <w:bodyDiv w:val="1"/>
      <w:marLeft w:val="0"/>
      <w:marRight w:val="0"/>
      <w:marTop w:val="0"/>
      <w:marBottom w:val="0"/>
      <w:divBdr>
        <w:top w:val="none" w:sz="0" w:space="0" w:color="auto"/>
        <w:left w:val="none" w:sz="0" w:space="0" w:color="auto"/>
        <w:bottom w:val="none" w:sz="0" w:space="0" w:color="auto"/>
        <w:right w:val="none" w:sz="0" w:space="0" w:color="auto"/>
      </w:divBdr>
    </w:div>
    <w:div w:id="114642574">
      <w:bodyDiv w:val="1"/>
      <w:marLeft w:val="0"/>
      <w:marRight w:val="0"/>
      <w:marTop w:val="0"/>
      <w:marBottom w:val="0"/>
      <w:divBdr>
        <w:top w:val="none" w:sz="0" w:space="0" w:color="auto"/>
        <w:left w:val="none" w:sz="0" w:space="0" w:color="auto"/>
        <w:bottom w:val="none" w:sz="0" w:space="0" w:color="auto"/>
        <w:right w:val="none" w:sz="0" w:space="0" w:color="auto"/>
      </w:divBdr>
    </w:div>
    <w:div w:id="128713260">
      <w:bodyDiv w:val="1"/>
      <w:marLeft w:val="0"/>
      <w:marRight w:val="0"/>
      <w:marTop w:val="0"/>
      <w:marBottom w:val="0"/>
      <w:divBdr>
        <w:top w:val="none" w:sz="0" w:space="0" w:color="auto"/>
        <w:left w:val="none" w:sz="0" w:space="0" w:color="auto"/>
        <w:bottom w:val="none" w:sz="0" w:space="0" w:color="auto"/>
        <w:right w:val="none" w:sz="0" w:space="0" w:color="auto"/>
      </w:divBdr>
    </w:div>
    <w:div w:id="168444631">
      <w:bodyDiv w:val="1"/>
      <w:marLeft w:val="0"/>
      <w:marRight w:val="0"/>
      <w:marTop w:val="0"/>
      <w:marBottom w:val="0"/>
      <w:divBdr>
        <w:top w:val="none" w:sz="0" w:space="0" w:color="auto"/>
        <w:left w:val="none" w:sz="0" w:space="0" w:color="auto"/>
        <w:bottom w:val="none" w:sz="0" w:space="0" w:color="auto"/>
        <w:right w:val="none" w:sz="0" w:space="0" w:color="auto"/>
      </w:divBdr>
    </w:div>
    <w:div w:id="211888534">
      <w:bodyDiv w:val="1"/>
      <w:marLeft w:val="0"/>
      <w:marRight w:val="0"/>
      <w:marTop w:val="0"/>
      <w:marBottom w:val="0"/>
      <w:divBdr>
        <w:top w:val="none" w:sz="0" w:space="0" w:color="auto"/>
        <w:left w:val="none" w:sz="0" w:space="0" w:color="auto"/>
        <w:bottom w:val="none" w:sz="0" w:space="0" w:color="auto"/>
        <w:right w:val="none" w:sz="0" w:space="0" w:color="auto"/>
      </w:divBdr>
    </w:div>
    <w:div w:id="223221177">
      <w:bodyDiv w:val="1"/>
      <w:marLeft w:val="0"/>
      <w:marRight w:val="0"/>
      <w:marTop w:val="0"/>
      <w:marBottom w:val="0"/>
      <w:divBdr>
        <w:top w:val="none" w:sz="0" w:space="0" w:color="auto"/>
        <w:left w:val="none" w:sz="0" w:space="0" w:color="auto"/>
        <w:bottom w:val="none" w:sz="0" w:space="0" w:color="auto"/>
        <w:right w:val="none" w:sz="0" w:space="0" w:color="auto"/>
      </w:divBdr>
    </w:div>
    <w:div w:id="232007338">
      <w:bodyDiv w:val="1"/>
      <w:marLeft w:val="0"/>
      <w:marRight w:val="0"/>
      <w:marTop w:val="0"/>
      <w:marBottom w:val="0"/>
      <w:divBdr>
        <w:top w:val="none" w:sz="0" w:space="0" w:color="auto"/>
        <w:left w:val="none" w:sz="0" w:space="0" w:color="auto"/>
        <w:bottom w:val="none" w:sz="0" w:space="0" w:color="auto"/>
        <w:right w:val="none" w:sz="0" w:space="0" w:color="auto"/>
      </w:divBdr>
    </w:div>
    <w:div w:id="237635718">
      <w:bodyDiv w:val="1"/>
      <w:marLeft w:val="0"/>
      <w:marRight w:val="0"/>
      <w:marTop w:val="0"/>
      <w:marBottom w:val="0"/>
      <w:divBdr>
        <w:top w:val="none" w:sz="0" w:space="0" w:color="auto"/>
        <w:left w:val="none" w:sz="0" w:space="0" w:color="auto"/>
        <w:bottom w:val="none" w:sz="0" w:space="0" w:color="auto"/>
        <w:right w:val="none" w:sz="0" w:space="0" w:color="auto"/>
      </w:divBdr>
    </w:div>
    <w:div w:id="241717516">
      <w:bodyDiv w:val="1"/>
      <w:marLeft w:val="0"/>
      <w:marRight w:val="0"/>
      <w:marTop w:val="0"/>
      <w:marBottom w:val="0"/>
      <w:divBdr>
        <w:top w:val="none" w:sz="0" w:space="0" w:color="auto"/>
        <w:left w:val="none" w:sz="0" w:space="0" w:color="auto"/>
        <w:bottom w:val="none" w:sz="0" w:space="0" w:color="auto"/>
        <w:right w:val="none" w:sz="0" w:space="0" w:color="auto"/>
      </w:divBdr>
    </w:div>
    <w:div w:id="275255178">
      <w:bodyDiv w:val="1"/>
      <w:marLeft w:val="0"/>
      <w:marRight w:val="0"/>
      <w:marTop w:val="0"/>
      <w:marBottom w:val="0"/>
      <w:divBdr>
        <w:top w:val="none" w:sz="0" w:space="0" w:color="auto"/>
        <w:left w:val="none" w:sz="0" w:space="0" w:color="auto"/>
        <w:bottom w:val="none" w:sz="0" w:space="0" w:color="auto"/>
        <w:right w:val="none" w:sz="0" w:space="0" w:color="auto"/>
      </w:divBdr>
    </w:div>
    <w:div w:id="291986245">
      <w:bodyDiv w:val="1"/>
      <w:marLeft w:val="0"/>
      <w:marRight w:val="0"/>
      <w:marTop w:val="0"/>
      <w:marBottom w:val="0"/>
      <w:divBdr>
        <w:top w:val="none" w:sz="0" w:space="0" w:color="auto"/>
        <w:left w:val="none" w:sz="0" w:space="0" w:color="auto"/>
        <w:bottom w:val="none" w:sz="0" w:space="0" w:color="auto"/>
        <w:right w:val="none" w:sz="0" w:space="0" w:color="auto"/>
      </w:divBdr>
    </w:div>
    <w:div w:id="298387540">
      <w:bodyDiv w:val="1"/>
      <w:marLeft w:val="0"/>
      <w:marRight w:val="0"/>
      <w:marTop w:val="0"/>
      <w:marBottom w:val="0"/>
      <w:divBdr>
        <w:top w:val="none" w:sz="0" w:space="0" w:color="auto"/>
        <w:left w:val="none" w:sz="0" w:space="0" w:color="auto"/>
        <w:bottom w:val="none" w:sz="0" w:space="0" w:color="auto"/>
        <w:right w:val="none" w:sz="0" w:space="0" w:color="auto"/>
      </w:divBdr>
    </w:div>
    <w:div w:id="325208425">
      <w:bodyDiv w:val="1"/>
      <w:marLeft w:val="0"/>
      <w:marRight w:val="0"/>
      <w:marTop w:val="0"/>
      <w:marBottom w:val="0"/>
      <w:divBdr>
        <w:top w:val="none" w:sz="0" w:space="0" w:color="auto"/>
        <w:left w:val="none" w:sz="0" w:space="0" w:color="auto"/>
        <w:bottom w:val="none" w:sz="0" w:space="0" w:color="auto"/>
        <w:right w:val="none" w:sz="0" w:space="0" w:color="auto"/>
      </w:divBdr>
    </w:div>
    <w:div w:id="330641282">
      <w:bodyDiv w:val="1"/>
      <w:marLeft w:val="0"/>
      <w:marRight w:val="0"/>
      <w:marTop w:val="0"/>
      <w:marBottom w:val="0"/>
      <w:divBdr>
        <w:top w:val="none" w:sz="0" w:space="0" w:color="auto"/>
        <w:left w:val="none" w:sz="0" w:space="0" w:color="auto"/>
        <w:bottom w:val="none" w:sz="0" w:space="0" w:color="auto"/>
        <w:right w:val="none" w:sz="0" w:space="0" w:color="auto"/>
      </w:divBdr>
    </w:div>
    <w:div w:id="346635877">
      <w:bodyDiv w:val="1"/>
      <w:marLeft w:val="0"/>
      <w:marRight w:val="0"/>
      <w:marTop w:val="0"/>
      <w:marBottom w:val="0"/>
      <w:divBdr>
        <w:top w:val="none" w:sz="0" w:space="0" w:color="auto"/>
        <w:left w:val="none" w:sz="0" w:space="0" w:color="auto"/>
        <w:bottom w:val="none" w:sz="0" w:space="0" w:color="auto"/>
        <w:right w:val="none" w:sz="0" w:space="0" w:color="auto"/>
      </w:divBdr>
    </w:div>
    <w:div w:id="363559894">
      <w:bodyDiv w:val="1"/>
      <w:marLeft w:val="0"/>
      <w:marRight w:val="0"/>
      <w:marTop w:val="0"/>
      <w:marBottom w:val="0"/>
      <w:divBdr>
        <w:top w:val="none" w:sz="0" w:space="0" w:color="auto"/>
        <w:left w:val="none" w:sz="0" w:space="0" w:color="auto"/>
        <w:bottom w:val="none" w:sz="0" w:space="0" w:color="auto"/>
        <w:right w:val="none" w:sz="0" w:space="0" w:color="auto"/>
      </w:divBdr>
    </w:div>
    <w:div w:id="386412944">
      <w:bodyDiv w:val="1"/>
      <w:marLeft w:val="0"/>
      <w:marRight w:val="0"/>
      <w:marTop w:val="0"/>
      <w:marBottom w:val="0"/>
      <w:divBdr>
        <w:top w:val="none" w:sz="0" w:space="0" w:color="auto"/>
        <w:left w:val="none" w:sz="0" w:space="0" w:color="auto"/>
        <w:bottom w:val="none" w:sz="0" w:space="0" w:color="auto"/>
        <w:right w:val="none" w:sz="0" w:space="0" w:color="auto"/>
      </w:divBdr>
    </w:div>
    <w:div w:id="434791083">
      <w:bodyDiv w:val="1"/>
      <w:marLeft w:val="0"/>
      <w:marRight w:val="0"/>
      <w:marTop w:val="0"/>
      <w:marBottom w:val="0"/>
      <w:divBdr>
        <w:top w:val="none" w:sz="0" w:space="0" w:color="auto"/>
        <w:left w:val="none" w:sz="0" w:space="0" w:color="auto"/>
        <w:bottom w:val="none" w:sz="0" w:space="0" w:color="auto"/>
        <w:right w:val="none" w:sz="0" w:space="0" w:color="auto"/>
      </w:divBdr>
    </w:div>
    <w:div w:id="508835050">
      <w:bodyDiv w:val="1"/>
      <w:marLeft w:val="0"/>
      <w:marRight w:val="0"/>
      <w:marTop w:val="0"/>
      <w:marBottom w:val="0"/>
      <w:divBdr>
        <w:top w:val="none" w:sz="0" w:space="0" w:color="auto"/>
        <w:left w:val="none" w:sz="0" w:space="0" w:color="auto"/>
        <w:bottom w:val="none" w:sz="0" w:space="0" w:color="auto"/>
        <w:right w:val="none" w:sz="0" w:space="0" w:color="auto"/>
      </w:divBdr>
    </w:div>
    <w:div w:id="530262328">
      <w:bodyDiv w:val="1"/>
      <w:marLeft w:val="0"/>
      <w:marRight w:val="0"/>
      <w:marTop w:val="0"/>
      <w:marBottom w:val="0"/>
      <w:divBdr>
        <w:top w:val="none" w:sz="0" w:space="0" w:color="auto"/>
        <w:left w:val="none" w:sz="0" w:space="0" w:color="auto"/>
        <w:bottom w:val="none" w:sz="0" w:space="0" w:color="auto"/>
        <w:right w:val="none" w:sz="0" w:space="0" w:color="auto"/>
      </w:divBdr>
    </w:div>
    <w:div w:id="546571069">
      <w:bodyDiv w:val="1"/>
      <w:marLeft w:val="0"/>
      <w:marRight w:val="0"/>
      <w:marTop w:val="0"/>
      <w:marBottom w:val="0"/>
      <w:divBdr>
        <w:top w:val="none" w:sz="0" w:space="0" w:color="auto"/>
        <w:left w:val="none" w:sz="0" w:space="0" w:color="auto"/>
        <w:bottom w:val="none" w:sz="0" w:space="0" w:color="auto"/>
        <w:right w:val="none" w:sz="0" w:space="0" w:color="auto"/>
      </w:divBdr>
    </w:div>
    <w:div w:id="630982286">
      <w:bodyDiv w:val="1"/>
      <w:marLeft w:val="0"/>
      <w:marRight w:val="0"/>
      <w:marTop w:val="0"/>
      <w:marBottom w:val="0"/>
      <w:divBdr>
        <w:top w:val="none" w:sz="0" w:space="0" w:color="auto"/>
        <w:left w:val="none" w:sz="0" w:space="0" w:color="auto"/>
        <w:bottom w:val="none" w:sz="0" w:space="0" w:color="auto"/>
        <w:right w:val="none" w:sz="0" w:space="0" w:color="auto"/>
      </w:divBdr>
    </w:div>
    <w:div w:id="694815851">
      <w:bodyDiv w:val="1"/>
      <w:marLeft w:val="0"/>
      <w:marRight w:val="0"/>
      <w:marTop w:val="0"/>
      <w:marBottom w:val="0"/>
      <w:divBdr>
        <w:top w:val="none" w:sz="0" w:space="0" w:color="auto"/>
        <w:left w:val="none" w:sz="0" w:space="0" w:color="auto"/>
        <w:bottom w:val="none" w:sz="0" w:space="0" w:color="auto"/>
        <w:right w:val="none" w:sz="0" w:space="0" w:color="auto"/>
      </w:divBdr>
    </w:div>
    <w:div w:id="722024129">
      <w:bodyDiv w:val="1"/>
      <w:marLeft w:val="0"/>
      <w:marRight w:val="0"/>
      <w:marTop w:val="0"/>
      <w:marBottom w:val="0"/>
      <w:divBdr>
        <w:top w:val="none" w:sz="0" w:space="0" w:color="auto"/>
        <w:left w:val="none" w:sz="0" w:space="0" w:color="auto"/>
        <w:bottom w:val="none" w:sz="0" w:space="0" w:color="auto"/>
        <w:right w:val="none" w:sz="0" w:space="0" w:color="auto"/>
      </w:divBdr>
    </w:div>
    <w:div w:id="751271661">
      <w:bodyDiv w:val="1"/>
      <w:marLeft w:val="0"/>
      <w:marRight w:val="0"/>
      <w:marTop w:val="0"/>
      <w:marBottom w:val="0"/>
      <w:divBdr>
        <w:top w:val="none" w:sz="0" w:space="0" w:color="auto"/>
        <w:left w:val="none" w:sz="0" w:space="0" w:color="auto"/>
        <w:bottom w:val="none" w:sz="0" w:space="0" w:color="auto"/>
        <w:right w:val="none" w:sz="0" w:space="0" w:color="auto"/>
      </w:divBdr>
    </w:div>
    <w:div w:id="829752283">
      <w:bodyDiv w:val="1"/>
      <w:marLeft w:val="0"/>
      <w:marRight w:val="0"/>
      <w:marTop w:val="0"/>
      <w:marBottom w:val="0"/>
      <w:divBdr>
        <w:top w:val="none" w:sz="0" w:space="0" w:color="auto"/>
        <w:left w:val="none" w:sz="0" w:space="0" w:color="auto"/>
        <w:bottom w:val="none" w:sz="0" w:space="0" w:color="auto"/>
        <w:right w:val="none" w:sz="0" w:space="0" w:color="auto"/>
      </w:divBdr>
    </w:div>
    <w:div w:id="852954831">
      <w:bodyDiv w:val="1"/>
      <w:marLeft w:val="0"/>
      <w:marRight w:val="0"/>
      <w:marTop w:val="0"/>
      <w:marBottom w:val="0"/>
      <w:divBdr>
        <w:top w:val="none" w:sz="0" w:space="0" w:color="auto"/>
        <w:left w:val="none" w:sz="0" w:space="0" w:color="auto"/>
        <w:bottom w:val="none" w:sz="0" w:space="0" w:color="auto"/>
        <w:right w:val="none" w:sz="0" w:space="0" w:color="auto"/>
      </w:divBdr>
    </w:div>
    <w:div w:id="890654334">
      <w:bodyDiv w:val="1"/>
      <w:marLeft w:val="0"/>
      <w:marRight w:val="0"/>
      <w:marTop w:val="0"/>
      <w:marBottom w:val="0"/>
      <w:divBdr>
        <w:top w:val="none" w:sz="0" w:space="0" w:color="auto"/>
        <w:left w:val="none" w:sz="0" w:space="0" w:color="auto"/>
        <w:bottom w:val="none" w:sz="0" w:space="0" w:color="auto"/>
        <w:right w:val="none" w:sz="0" w:space="0" w:color="auto"/>
      </w:divBdr>
    </w:div>
    <w:div w:id="896208639">
      <w:bodyDiv w:val="1"/>
      <w:marLeft w:val="0"/>
      <w:marRight w:val="0"/>
      <w:marTop w:val="0"/>
      <w:marBottom w:val="0"/>
      <w:divBdr>
        <w:top w:val="none" w:sz="0" w:space="0" w:color="auto"/>
        <w:left w:val="none" w:sz="0" w:space="0" w:color="auto"/>
        <w:bottom w:val="none" w:sz="0" w:space="0" w:color="auto"/>
        <w:right w:val="none" w:sz="0" w:space="0" w:color="auto"/>
      </w:divBdr>
    </w:div>
    <w:div w:id="901479266">
      <w:bodyDiv w:val="1"/>
      <w:marLeft w:val="0"/>
      <w:marRight w:val="0"/>
      <w:marTop w:val="0"/>
      <w:marBottom w:val="0"/>
      <w:divBdr>
        <w:top w:val="none" w:sz="0" w:space="0" w:color="auto"/>
        <w:left w:val="none" w:sz="0" w:space="0" w:color="auto"/>
        <w:bottom w:val="none" w:sz="0" w:space="0" w:color="auto"/>
        <w:right w:val="none" w:sz="0" w:space="0" w:color="auto"/>
      </w:divBdr>
    </w:div>
    <w:div w:id="902522268">
      <w:bodyDiv w:val="1"/>
      <w:marLeft w:val="0"/>
      <w:marRight w:val="0"/>
      <w:marTop w:val="0"/>
      <w:marBottom w:val="0"/>
      <w:divBdr>
        <w:top w:val="none" w:sz="0" w:space="0" w:color="auto"/>
        <w:left w:val="none" w:sz="0" w:space="0" w:color="auto"/>
        <w:bottom w:val="none" w:sz="0" w:space="0" w:color="auto"/>
        <w:right w:val="none" w:sz="0" w:space="0" w:color="auto"/>
      </w:divBdr>
    </w:div>
    <w:div w:id="908148757">
      <w:bodyDiv w:val="1"/>
      <w:marLeft w:val="0"/>
      <w:marRight w:val="0"/>
      <w:marTop w:val="0"/>
      <w:marBottom w:val="0"/>
      <w:divBdr>
        <w:top w:val="none" w:sz="0" w:space="0" w:color="auto"/>
        <w:left w:val="none" w:sz="0" w:space="0" w:color="auto"/>
        <w:bottom w:val="none" w:sz="0" w:space="0" w:color="auto"/>
        <w:right w:val="none" w:sz="0" w:space="0" w:color="auto"/>
      </w:divBdr>
    </w:div>
    <w:div w:id="923612541">
      <w:bodyDiv w:val="1"/>
      <w:marLeft w:val="0"/>
      <w:marRight w:val="0"/>
      <w:marTop w:val="0"/>
      <w:marBottom w:val="0"/>
      <w:divBdr>
        <w:top w:val="none" w:sz="0" w:space="0" w:color="auto"/>
        <w:left w:val="none" w:sz="0" w:space="0" w:color="auto"/>
        <w:bottom w:val="none" w:sz="0" w:space="0" w:color="auto"/>
        <w:right w:val="none" w:sz="0" w:space="0" w:color="auto"/>
      </w:divBdr>
    </w:div>
    <w:div w:id="969819166">
      <w:bodyDiv w:val="1"/>
      <w:marLeft w:val="0"/>
      <w:marRight w:val="0"/>
      <w:marTop w:val="0"/>
      <w:marBottom w:val="0"/>
      <w:divBdr>
        <w:top w:val="none" w:sz="0" w:space="0" w:color="auto"/>
        <w:left w:val="none" w:sz="0" w:space="0" w:color="auto"/>
        <w:bottom w:val="none" w:sz="0" w:space="0" w:color="auto"/>
        <w:right w:val="none" w:sz="0" w:space="0" w:color="auto"/>
      </w:divBdr>
    </w:div>
    <w:div w:id="1019045532">
      <w:bodyDiv w:val="1"/>
      <w:marLeft w:val="0"/>
      <w:marRight w:val="0"/>
      <w:marTop w:val="0"/>
      <w:marBottom w:val="0"/>
      <w:divBdr>
        <w:top w:val="none" w:sz="0" w:space="0" w:color="auto"/>
        <w:left w:val="none" w:sz="0" w:space="0" w:color="auto"/>
        <w:bottom w:val="none" w:sz="0" w:space="0" w:color="auto"/>
        <w:right w:val="none" w:sz="0" w:space="0" w:color="auto"/>
      </w:divBdr>
    </w:div>
    <w:div w:id="1022825170">
      <w:bodyDiv w:val="1"/>
      <w:marLeft w:val="0"/>
      <w:marRight w:val="0"/>
      <w:marTop w:val="0"/>
      <w:marBottom w:val="0"/>
      <w:divBdr>
        <w:top w:val="none" w:sz="0" w:space="0" w:color="auto"/>
        <w:left w:val="none" w:sz="0" w:space="0" w:color="auto"/>
        <w:bottom w:val="none" w:sz="0" w:space="0" w:color="auto"/>
        <w:right w:val="none" w:sz="0" w:space="0" w:color="auto"/>
      </w:divBdr>
    </w:div>
    <w:div w:id="1030840681">
      <w:bodyDiv w:val="1"/>
      <w:marLeft w:val="0"/>
      <w:marRight w:val="0"/>
      <w:marTop w:val="0"/>
      <w:marBottom w:val="0"/>
      <w:divBdr>
        <w:top w:val="none" w:sz="0" w:space="0" w:color="auto"/>
        <w:left w:val="none" w:sz="0" w:space="0" w:color="auto"/>
        <w:bottom w:val="none" w:sz="0" w:space="0" w:color="auto"/>
        <w:right w:val="none" w:sz="0" w:space="0" w:color="auto"/>
      </w:divBdr>
    </w:div>
    <w:div w:id="1037314056">
      <w:bodyDiv w:val="1"/>
      <w:marLeft w:val="0"/>
      <w:marRight w:val="0"/>
      <w:marTop w:val="0"/>
      <w:marBottom w:val="0"/>
      <w:divBdr>
        <w:top w:val="none" w:sz="0" w:space="0" w:color="auto"/>
        <w:left w:val="none" w:sz="0" w:space="0" w:color="auto"/>
        <w:bottom w:val="none" w:sz="0" w:space="0" w:color="auto"/>
        <w:right w:val="none" w:sz="0" w:space="0" w:color="auto"/>
      </w:divBdr>
    </w:div>
    <w:div w:id="1037894673">
      <w:bodyDiv w:val="1"/>
      <w:marLeft w:val="0"/>
      <w:marRight w:val="0"/>
      <w:marTop w:val="0"/>
      <w:marBottom w:val="0"/>
      <w:divBdr>
        <w:top w:val="none" w:sz="0" w:space="0" w:color="auto"/>
        <w:left w:val="none" w:sz="0" w:space="0" w:color="auto"/>
        <w:bottom w:val="none" w:sz="0" w:space="0" w:color="auto"/>
        <w:right w:val="none" w:sz="0" w:space="0" w:color="auto"/>
      </w:divBdr>
    </w:div>
    <w:div w:id="1102184769">
      <w:bodyDiv w:val="1"/>
      <w:marLeft w:val="0"/>
      <w:marRight w:val="0"/>
      <w:marTop w:val="0"/>
      <w:marBottom w:val="0"/>
      <w:divBdr>
        <w:top w:val="none" w:sz="0" w:space="0" w:color="auto"/>
        <w:left w:val="none" w:sz="0" w:space="0" w:color="auto"/>
        <w:bottom w:val="none" w:sz="0" w:space="0" w:color="auto"/>
        <w:right w:val="none" w:sz="0" w:space="0" w:color="auto"/>
      </w:divBdr>
    </w:div>
    <w:div w:id="1150056584">
      <w:bodyDiv w:val="1"/>
      <w:marLeft w:val="0"/>
      <w:marRight w:val="0"/>
      <w:marTop w:val="0"/>
      <w:marBottom w:val="0"/>
      <w:divBdr>
        <w:top w:val="none" w:sz="0" w:space="0" w:color="auto"/>
        <w:left w:val="none" w:sz="0" w:space="0" w:color="auto"/>
        <w:bottom w:val="none" w:sz="0" w:space="0" w:color="auto"/>
        <w:right w:val="none" w:sz="0" w:space="0" w:color="auto"/>
      </w:divBdr>
    </w:div>
    <w:div w:id="1156842333">
      <w:bodyDiv w:val="1"/>
      <w:marLeft w:val="0"/>
      <w:marRight w:val="0"/>
      <w:marTop w:val="0"/>
      <w:marBottom w:val="0"/>
      <w:divBdr>
        <w:top w:val="none" w:sz="0" w:space="0" w:color="auto"/>
        <w:left w:val="none" w:sz="0" w:space="0" w:color="auto"/>
        <w:bottom w:val="none" w:sz="0" w:space="0" w:color="auto"/>
        <w:right w:val="none" w:sz="0" w:space="0" w:color="auto"/>
      </w:divBdr>
    </w:div>
    <w:div w:id="1181315472">
      <w:bodyDiv w:val="1"/>
      <w:marLeft w:val="0"/>
      <w:marRight w:val="0"/>
      <w:marTop w:val="0"/>
      <w:marBottom w:val="0"/>
      <w:divBdr>
        <w:top w:val="none" w:sz="0" w:space="0" w:color="auto"/>
        <w:left w:val="none" w:sz="0" w:space="0" w:color="auto"/>
        <w:bottom w:val="none" w:sz="0" w:space="0" w:color="auto"/>
        <w:right w:val="none" w:sz="0" w:space="0" w:color="auto"/>
      </w:divBdr>
    </w:div>
    <w:div w:id="1213467237">
      <w:bodyDiv w:val="1"/>
      <w:marLeft w:val="0"/>
      <w:marRight w:val="0"/>
      <w:marTop w:val="0"/>
      <w:marBottom w:val="0"/>
      <w:divBdr>
        <w:top w:val="none" w:sz="0" w:space="0" w:color="auto"/>
        <w:left w:val="none" w:sz="0" w:space="0" w:color="auto"/>
        <w:bottom w:val="none" w:sz="0" w:space="0" w:color="auto"/>
        <w:right w:val="none" w:sz="0" w:space="0" w:color="auto"/>
      </w:divBdr>
    </w:div>
    <w:div w:id="1285773368">
      <w:bodyDiv w:val="1"/>
      <w:marLeft w:val="0"/>
      <w:marRight w:val="0"/>
      <w:marTop w:val="0"/>
      <w:marBottom w:val="0"/>
      <w:divBdr>
        <w:top w:val="none" w:sz="0" w:space="0" w:color="auto"/>
        <w:left w:val="none" w:sz="0" w:space="0" w:color="auto"/>
        <w:bottom w:val="none" w:sz="0" w:space="0" w:color="auto"/>
        <w:right w:val="none" w:sz="0" w:space="0" w:color="auto"/>
      </w:divBdr>
    </w:div>
    <w:div w:id="1333028343">
      <w:bodyDiv w:val="1"/>
      <w:marLeft w:val="0"/>
      <w:marRight w:val="0"/>
      <w:marTop w:val="0"/>
      <w:marBottom w:val="0"/>
      <w:divBdr>
        <w:top w:val="none" w:sz="0" w:space="0" w:color="auto"/>
        <w:left w:val="none" w:sz="0" w:space="0" w:color="auto"/>
        <w:bottom w:val="none" w:sz="0" w:space="0" w:color="auto"/>
        <w:right w:val="none" w:sz="0" w:space="0" w:color="auto"/>
      </w:divBdr>
    </w:div>
    <w:div w:id="1334802835">
      <w:bodyDiv w:val="1"/>
      <w:marLeft w:val="0"/>
      <w:marRight w:val="0"/>
      <w:marTop w:val="0"/>
      <w:marBottom w:val="0"/>
      <w:divBdr>
        <w:top w:val="none" w:sz="0" w:space="0" w:color="auto"/>
        <w:left w:val="none" w:sz="0" w:space="0" w:color="auto"/>
        <w:bottom w:val="none" w:sz="0" w:space="0" w:color="auto"/>
        <w:right w:val="none" w:sz="0" w:space="0" w:color="auto"/>
      </w:divBdr>
    </w:div>
    <w:div w:id="1351495630">
      <w:bodyDiv w:val="1"/>
      <w:marLeft w:val="0"/>
      <w:marRight w:val="0"/>
      <w:marTop w:val="0"/>
      <w:marBottom w:val="0"/>
      <w:divBdr>
        <w:top w:val="none" w:sz="0" w:space="0" w:color="auto"/>
        <w:left w:val="none" w:sz="0" w:space="0" w:color="auto"/>
        <w:bottom w:val="none" w:sz="0" w:space="0" w:color="auto"/>
        <w:right w:val="none" w:sz="0" w:space="0" w:color="auto"/>
      </w:divBdr>
    </w:div>
    <w:div w:id="1368681473">
      <w:bodyDiv w:val="1"/>
      <w:marLeft w:val="0"/>
      <w:marRight w:val="0"/>
      <w:marTop w:val="0"/>
      <w:marBottom w:val="0"/>
      <w:divBdr>
        <w:top w:val="none" w:sz="0" w:space="0" w:color="auto"/>
        <w:left w:val="none" w:sz="0" w:space="0" w:color="auto"/>
        <w:bottom w:val="none" w:sz="0" w:space="0" w:color="auto"/>
        <w:right w:val="none" w:sz="0" w:space="0" w:color="auto"/>
      </w:divBdr>
    </w:div>
    <w:div w:id="1370914767">
      <w:bodyDiv w:val="1"/>
      <w:marLeft w:val="0"/>
      <w:marRight w:val="0"/>
      <w:marTop w:val="0"/>
      <w:marBottom w:val="0"/>
      <w:divBdr>
        <w:top w:val="none" w:sz="0" w:space="0" w:color="auto"/>
        <w:left w:val="none" w:sz="0" w:space="0" w:color="auto"/>
        <w:bottom w:val="none" w:sz="0" w:space="0" w:color="auto"/>
        <w:right w:val="none" w:sz="0" w:space="0" w:color="auto"/>
      </w:divBdr>
    </w:div>
    <w:div w:id="1378240232">
      <w:bodyDiv w:val="1"/>
      <w:marLeft w:val="0"/>
      <w:marRight w:val="0"/>
      <w:marTop w:val="0"/>
      <w:marBottom w:val="0"/>
      <w:divBdr>
        <w:top w:val="none" w:sz="0" w:space="0" w:color="auto"/>
        <w:left w:val="none" w:sz="0" w:space="0" w:color="auto"/>
        <w:bottom w:val="none" w:sz="0" w:space="0" w:color="auto"/>
        <w:right w:val="none" w:sz="0" w:space="0" w:color="auto"/>
      </w:divBdr>
    </w:div>
    <w:div w:id="1405371110">
      <w:bodyDiv w:val="1"/>
      <w:marLeft w:val="0"/>
      <w:marRight w:val="0"/>
      <w:marTop w:val="0"/>
      <w:marBottom w:val="0"/>
      <w:divBdr>
        <w:top w:val="none" w:sz="0" w:space="0" w:color="auto"/>
        <w:left w:val="none" w:sz="0" w:space="0" w:color="auto"/>
        <w:bottom w:val="none" w:sz="0" w:space="0" w:color="auto"/>
        <w:right w:val="none" w:sz="0" w:space="0" w:color="auto"/>
      </w:divBdr>
    </w:div>
    <w:div w:id="1465194893">
      <w:bodyDiv w:val="1"/>
      <w:marLeft w:val="0"/>
      <w:marRight w:val="0"/>
      <w:marTop w:val="0"/>
      <w:marBottom w:val="0"/>
      <w:divBdr>
        <w:top w:val="none" w:sz="0" w:space="0" w:color="auto"/>
        <w:left w:val="none" w:sz="0" w:space="0" w:color="auto"/>
        <w:bottom w:val="none" w:sz="0" w:space="0" w:color="auto"/>
        <w:right w:val="none" w:sz="0" w:space="0" w:color="auto"/>
      </w:divBdr>
    </w:div>
    <w:div w:id="1476069656">
      <w:bodyDiv w:val="1"/>
      <w:marLeft w:val="0"/>
      <w:marRight w:val="0"/>
      <w:marTop w:val="0"/>
      <w:marBottom w:val="0"/>
      <w:divBdr>
        <w:top w:val="none" w:sz="0" w:space="0" w:color="auto"/>
        <w:left w:val="none" w:sz="0" w:space="0" w:color="auto"/>
        <w:bottom w:val="none" w:sz="0" w:space="0" w:color="auto"/>
        <w:right w:val="none" w:sz="0" w:space="0" w:color="auto"/>
      </w:divBdr>
    </w:div>
    <w:div w:id="1491168873">
      <w:bodyDiv w:val="1"/>
      <w:marLeft w:val="0"/>
      <w:marRight w:val="0"/>
      <w:marTop w:val="0"/>
      <w:marBottom w:val="0"/>
      <w:divBdr>
        <w:top w:val="none" w:sz="0" w:space="0" w:color="auto"/>
        <w:left w:val="none" w:sz="0" w:space="0" w:color="auto"/>
        <w:bottom w:val="none" w:sz="0" w:space="0" w:color="auto"/>
        <w:right w:val="none" w:sz="0" w:space="0" w:color="auto"/>
      </w:divBdr>
    </w:div>
    <w:div w:id="1509172831">
      <w:bodyDiv w:val="1"/>
      <w:marLeft w:val="0"/>
      <w:marRight w:val="0"/>
      <w:marTop w:val="0"/>
      <w:marBottom w:val="0"/>
      <w:divBdr>
        <w:top w:val="none" w:sz="0" w:space="0" w:color="auto"/>
        <w:left w:val="none" w:sz="0" w:space="0" w:color="auto"/>
        <w:bottom w:val="none" w:sz="0" w:space="0" w:color="auto"/>
        <w:right w:val="none" w:sz="0" w:space="0" w:color="auto"/>
      </w:divBdr>
    </w:div>
    <w:div w:id="1518428926">
      <w:bodyDiv w:val="1"/>
      <w:marLeft w:val="0"/>
      <w:marRight w:val="0"/>
      <w:marTop w:val="0"/>
      <w:marBottom w:val="0"/>
      <w:divBdr>
        <w:top w:val="none" w:sz="0" w:space="0" w:color="auto"/>
        <w:left w:val="none" w:sz="0" w:space="0" w:color="auto"/>
        <w:bottom w:val="none" w:sz="0" w:space="0" w:color="auto"/>
        <w:right w:val="none" w:sz="0" w:space="0" w:color="auto"/>
      </w:divBdr>
    </w:div>
    <w:div w:id="1536230846">
      <w:bodyDiv w:val="1"/>
      <w:marLeft w:val="0"/>
      <w:marRight w:val="0"/>
      <w:marTop w:val="0"/>
      <w:marBottom w:val="0"/>
      <w:divBdr>
        <w:top w:val="none" w:sz="0" w:space="0" w:color="auto"/>
        <w:left w:val="none" w:sz="0" w:space="0" w:color="auto"/>
        <w:bottom w:val="none" w:sz="0" w:space="0" w:color="auto"/>
        <w:right w:val="none" w:sz="0" w:space="0" w:color="auto"/>
      </w:divBdr>
    </w:div>
    <w:div w:id="1544098292">
      <w:bodyDiv w:val="1"/>
      <w:marLeft w:val="0"/>
      <w:marRight w:val="0"/>
      <w:marTop w:val="0"/>
      <w:marBottom w:val="0"/>
      <w:divBdr>
        <w:top w:val="none" w:sz="0" w:space="0" w:color="auto"/>
        <w:left w:val="none" w:sz="0" w:space="0" w:color="auto"/>
        <w:bottom w:val="none" w:sz="0" w:space="0" w:color="auto"/>
        <w:right w:val="none" w:sz="0" w:space="0" w:color="auto"/>
      </w:divBdr>
    </w:div>
    <w:div w:id="1551333414">
      <w:bodyDiv w:val="1"/>
      <w:marLeft w:val="0"/>
      <w:marRight w:val="0"/>
      <w:marTop w:val="0"/>
      <w:marBottom w:val="0"/>
      <w:divBdr>
        <w:top w:val="none" w:sz="0" w:space="0" w:color="auto"/>
        <w:left w:val="none" w:sz="0" w:space="0" w:color="auto"/>
        <w:bottom w:val="none" w:sz="0" w:space="0" w:color="auto"/>
        <w:right w:val="none" w:sz="0" w:space="0" w:color="auto"/>
      </w:divBdr>
    </w:div>
    <w:div w:id="1622540365">
      <w:bodyDiv w:val="1"/>
      <w:marLeft w:val="0"/>
      <w:marRight w:val="0"/>
      <w:marTop w:val="0"/>
      <w:marBottom w:val="0"/>
      <w:divBdr>
        <w:top w:val="none" w:sz="0" w:space="0" w:color="auto"/>
        <w:left w:val="none" w:sz="0" w:space="0" w:color="auto"/>
        <w:bottom w:val="none" w:sz="0" w:space="0" w:color="auto"/>
        <w:right w:val="none" w:sz="0" w:space="0" w:color="auto"/>
      </w:divBdr>
    </w:div>
    <w:div w:id="1644045562">
      <w:bodyDiv w:val="1"/>
      <w:marLeft w:val="0"/>
      <w:marRight w:val="0"/>
      <w:marTop w:val="0"/>
      <w:marBottom w:val="0"/>
      <w:divBdr>
        <w:top w:val="none" w:sz="0" w:space="0" w:color="auto"/>
        <w:left w:val="none" w:sz="0" w:space="0" w:color="auto"/>
        <w:bottom w:val="none" w:sz="0" w:space="0" w:color="auto"/>
        <w:right w:val="none" w:sz="0" w:space="0" w:color="auto"/>
      </w:divBdr>
    </w:div>
    <w:div w:id="1708025307">
      <w:bodyDiv w:val="1"/>
      <w:marLeft w:val="0"/>
      <w:marRight w:val="0"/>
      <w:marTop w:val="0"/>
      <w:marBottom w:val="0"/>
      <w:divBdr>
        <w:top w:val="none" w:sz="0" w:space="0" w:color="auto"/>
        <w:left w:val="none" w:sz="0" w:space="0" w:color="auto"/>
        <w:bottom w:val="none" w:sz="0" w:space="0" w:color="auto"/>
        <w:right w:val="none" w:sz="0" w:space="0" w:color="auto"/>
      </w:divBdr>
    </w:div>
    <w:div w:id="1711108578">
      <w:bodyDiv w:val="1"/>
      <w:marLeft w:val="0"/>
      <w:marRight w:val="0"/>
      <w:marTop w:val="0"/>
      <w:marBottom w:val="0"/>
      <w:divBdr>
        <w:top w:val="none" w:sz="0" w:space="0" w:color="auto"/>
        <w:left w:val="none" w:sz="0" w:space="0" w:color="auto"/>
        <w:bottom w:val="none" w:sz="0" w:space="0" w:color="auto"/>
        <w:right w:val="none" w:sz="0" w:space="0" w:color="auto"/>
      </w:divBdr>
    </w:div>
    <w:div w:id="1724601321">
      <w:bodyDiv w:val="1"/>
      <w:marLeft w:val="0"/>
      <w:marRight w:val="0"/>
      <w:marTop w:val="0"/>
      <w:marBottom w:val="0"/>
      <w:divBdr>
        <w:top w:val="none" w:sz="0" w:space="0" w:color="auto"/>
        <w:left w:val="none" w:sz="0" w:space="0" w:color="auto"/>
        <w:bottom w:val="none" w:sz="0" w:space="0" w:color="auto"/>
        <w:right w:val="none" w:sz="0" w:space="0" w:color="auto"/>
      </w:divBdr>
    </w:div>
    <w:div w:id="1741633513">
      <w:bodyDiv w:val="1"/>
      <w:marLeft w:val="0"/>
      <w:marRight w:val="0"/>
      <w:marTop w:val="0"/>
      <w:marBottom w:val="0"/>
      <w:divBdr>
        <w:top w:val="none" w:sz="0" w:space="0" w:color="auto"/>
        <w:left w:val="none" w:sz="0" w:space="0" w:color="auto"/>
        <w:bottom w:val="none" w:sz="0" w:space="0" w:color="auto"/>
        <w:right w:val="none" w:sz="0" w:space="0" w:color="auto"/>
      </w:divBdr>
    </w:div>
    <w:div w:id="1782142648">
      <w:bodyDiv w:val="1"/>
      <w:marLeft w:val="0"/>
      <w:marRight w:val="0"/>
      <w:marTop w:val="0"/>
      <w:marBottom w:val="0"/>
      <w:divBdr>
        <w:top w:val="none" w:sz="0" w:space="0" w:color="auto"/>
        <w:left w:val="none" w:sz="0" w:space="0" w:color="auto"/>
        <w:bottom w:val="none" w:sz="0" w:space="0" w:color="auto"/>
        <w:right w:val="none" w:sz="0" w:space="0" w:color="auto"/>
      </w:divBdr>
    </w:div>
    <w:div w:id="1786272029">
      <w:bodyDiv w:val="1"/>
      <w:marLeft w:val="0"/>
      <w:marRight w:val="0"/>
      <w:marTop w:val="0"/>
      <w:marBottom w:val="0"/>
      <w:divBdr>
        <w:top w:val="none" w:sz="0" w:space="0" w:color="auto"/>
        <w:left w:val="none" w:sz="0" w:space="0" w:color="auto"/>
        <w:bottom w:val="none" w:sz="0" w:space="0" w:color="auto"/>
        <w:right w:val="none" w:sz="0" w:space="0" w:color="auto"/>
      </w:divBdr>
    </w:div>
    <w:div w:id="1787235030">
      <w:bodyDiv w:val="1"/>
      <w:marLeft w:val="0"/>
      <w:marRight w:val="0"/>
      <w:marTop w:val="0"/>
      <w:marBottom w:val="0"/>
      <w:divBdr>
        <w:top w:val="none" w:sz="0" w:space="0" w:color="auto"/>
        <w:left w:val="none" w:sz="0" w:space="0" w:color="auto"/>
        <w:bottom w:val="none" w:sz="0" w:space="0" w:color="auto"/>
        <w:right w:val="none" w:sz="0" w:space="0" w:color="auto"/>
      </w:divBdr>
    </w:div>
    <w:div w:id="1804736366">
      <w:bodyDiv w:val="1"/>
      <w:marLeft w:val="0"/>
      <w:marRight w:val="0"/>
      <w:marTop w:val="0"/>
      <w:marBottom w:val="0"/>
      <w:divBdr>
        <w:top w:val="none" w:sz="0" w:space="0" w:color="auto"/>
        <w:left w:val="none" w:sz="0" w:space="0" w:color="auto"/>
        <w:bottom w:val="none" w:sz="0" w:space="0" w:color="auto"/>
        <w:right w:val="none" w:sz="0" w:space="0" w:color="auto"/>
      </w:divBdr>
    </w:div>
    <w:div w:id="1805806230">
      <w:bodyDiv w:val="1"/>
      <w:marLeft w:val="0"/>
      <w:marRight w:val="0"/>
      <w:marTop w:val="0"/>
      <w:marBottom w:val="0"/>
      <w:divBdr>
        <w:top w:val="none" w:sz="0" w:space="0" w:color="auto"/>
        <w:left w:val="none" w:sz="0" w:space="0" w:color="auto"/>
        <w:bottom w:val="none" w:sz="0" w:space="0" w:color="auto"/>
        <w:right w:val="none" w:sz="0" w:space="0" w:color="auto"/>
      </w:divBdr>
    </w:div>
    <w:div w:id="1841461219">
      <w:bodyDiv w:val="1"/>
      <w:marLeft w:val="0"/>
      <w:marRight w:val="0"/>
      <w:marTop w:val="0"/>
      <w:marBottom w:val="0"/>
      <w:divBdr>
        <w:top w:val="none" w:sz="0" w:space="0" w:color="auto"/>
        <w:left w:val="none" w:sz="0" w:space="0" w:color="auto"/>
        <w:bottom w:val="none" w:sz="0" w:space="0" w:color="auto"/>
        <w:right w:val="none" w:sz="0" w:space="0" w:color="auto"/>
      </w:divBdr>
    </w:div>
    <w:div w:id="1854033579">
      <w:bodyDiv w:val="1"/>
      <w:marLeft w:val="0"/>
      <w:marRight w:val="0"/>
      <w:marTop w:val="0"/>
      <w:marBottom w:val="0"/>
      <w:divBdr>
        <w:top w:val="none" w:sz="0" w:space="0" w:color="auto"/>
        <w:left w:val="none" w:sz="0" w:space="0" w:color="auto"/>
        <w:bottom w:val="none" w:sz="0" w:space="0" w:color="auto"/>
        <w:right w:val="none" w:sz="0" w:space="0" w:color="auto"/>
      </w:divBdr>
    </w:div>
    <w:div w:id="1863057514">
      <w:bodyDiv w:val="1"/>
      <w:marLeft w:val="0"/>
      <w:marRight w:val="0"/>
      <w:marTop w:val="0"/>
      <w:marBottom w:val="0"/>
      <w:divBdr>
        <w:top w:val="none" w:sz="0" w:space="0" w:color="auto"/>
        <w:left w:val="none" w:sz="0" w:space="0" w:color="auto"/>
        <w:bottom w:val="none" w:sz="0" w:space="0" w:color="auto"/>
        <w:right w:val="none" w:sz="0" w:space="0" w:color="auto"/>
      </w:divBdr>
    </w:div>
    <w:div w:id="1888949850">
      <w:bodyDiv w:val="1"/>
      <w:marLeft w:val="0"/>
      <w:marRight w:val="0"/>
      <w:marTop w:val="0"/>
      <w:marBottom w:val="0"/>
      <w:divBdr>
        <w:top w:val="none" w:sz="0" w:space="0" w:color="auto"/>
        <w:left w:val="none" w:sz="0" w:space="0" w:color="auto"/>
        <w:bottom w:val="none" w:sz="0" w:space="0" w:color="auto"/>
        <w:right w:val="none" w:sz="0" w:space="0" w:color="auto"/>
      </w:divBdr>
    </w:div>
    <w:div w:id="1941327505">
      <w:bodyDiv w:val="1"/>
      <w:marLeft w:val="0"/>
      <w:marRight w:val="0"/>
      <w:marTop w:val="0"/>
      <w:marBottom w:val="0"/>
      <w:divBdr>
        <w:top w:val="none" w:sz="0" w:space="0" w:color="auto"/>
        <w:left w:val="none" w:sz="0" w:space="0" w:color="auto"/>
        <w:bottom w:val="none" w:sz="0" w:space="0" w:color="auto"/>
        <w:right w:val="none" w:sz="0" w:space="0" w:color="auto"/>
      </w:divBdr>
    </w:div>
    <w:div w:id="1948810458">
      <w:bodyDiv w:val="1"/>
      <w:marLeft w:val="0"/>
      <w:marRight w:val="0"/>
      <w:marTop w:val="0"/>
      <w:marBottom w:val="0"/>
      <w:divBdr>
        <w:top w:val="none" w:sz="0" w:space="0" w:color="auto"/>
        <w:left w:val="none" w:sz="0" w:space="0" w:color="auto"/>
        <w:bottom w:val="none" w:sz="0" w:space="0" w:color="auto"/>
        <w:right w:val="none" w:sz="0" w:space="0" w:color="auto"/>
      </w:divBdr>
    </w:div>
    <w:div w:id="2036030404">
      <w:bodyDiv w:val="1"/>
      <w:marLeft w:val="0"/>
      <w:marRight w:val="0"/>
      <w:marTop w:val="0"/>
      <w:marBottom w:val="0"/>
      <w:divBdr>
        <w:top w:val="none" w:sz="0" w:space="0" w:color="auto"/>
        <w:left w:val="none" w:sz="0" w:space="0" w:color="auto"/>
        <w:bottom w:val="none" w:sz="0" w:space="0" w:color="auto"/>
        <w:right w:val="none" w:sz="0" w:space="0" w:color="auto"/>
      </w:divBdr>
    </w:div>
    <w:div w:id="2042627964">
      <w:bodyDiv w:val="1"/>
      <w:marLeft w:val="0"/>
      <w:marRight w:val="0"/>
      <w:marTop w:val="0"/>
      <w:marBottom w:val="0"/>
      <w:divBdr>
        <w:top w:val="none" w:sz="0" w:space="0" w:color="auto"/>
        <w:left w:val="none" w:sz="0" w:space="0" w:color="auto"/>
        <w:bottom w:val="none" w:sz="0" w:space="0" w:color="auto"/>
        <w:right w:val="none" w:sz="0" w:space="0" w:color="auto"/>
      </w:divBdr>
    </w:div>
    <w:div w:id="2105808361">
      <w:bodyDiv w:val="1"/>
      <w:marLeft w:val="0"/>
      <w:marRight w:val="0"/>
      <w:marTop w:val="0"/>
      <w:marBottom w:val="0"/>
      <w:divBdr>
        <w:top w:val="none" w:sz="0" w:space="0" w:color="auto"/>
        <w:left w:val="none" w:sz="0" w:space="0" w:color="auto"/>
        <w:bottom w:val="none" w:sz="0" w:space="0" w:color="auto"/>
        <w:right w:val="none" w:sz="0" w:space="0" w:color="auto"/>
      </w:divBdr>
    </w:div>
    <w:div w:id="214546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BO"/>
              <a:t>Comparación</a:t>
            </a:r>
            <a:r>
              <a:rPr lang="es-BO" baseline="0"/>
              <a:t> crecimiento PIB con crecimiento Cartera de Créditos</a:t>
            </a:r>
            <a:endParaRPr lang="es-BO"/>
          </a:p>
        </c:rich>
      </c:tx>
      <c:layout>
        <c:manualLayout>
          <c:xMode val="edge"/>
          <c:yMode val="edge"/>
          <c:x val="0.1505693350831146"/>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BO"/>
        </a:p>
      </c:txPr>
    </c:title>
    <c:autoTitleDeleted val="0"/>
    <c:plotArea>
      <c:layout/>
      <c:lineChart>
        <c:grouping val="standard"/>
        <c:varyColors val="0"/>
        <c:ser>
          <c:idx val="0"/>
          <c:order val="0"/>
          <c:tx>
            <c:strRef>
              <c:f>'18'!$A$8</c:f>
              <c:strCache>
                <c:ptCount val="1"/>
                <c:pt idx="0">
                  <c:v>CARTERA</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B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'18'!$B$7:$Q$7</c:f>
              <c:numCache>
                <c:formatCode>General</c:formatCode>
                <c:ptCount val="6"/>
                <c:pt idx="0">
                  <c:v>2012</c:v>
                </c:pt>
                <c:pt idx="1">
                  <c:v>2013</c:v>
                </c:pt>
                <c:pt idx="2">
                  <c:v>2014</c:v>
                </c:pt>
                <c:pt idx="3">
                  <c:v>2015</c:v>
                </c:pt>
                <c:pt idx="4">
                  <c:v>2016</c:v>
                </c:pt>
                <c:pt idx="5">
                  <c:v>2017</c:v>
                </c:pt>
              </c:numCache>
            </c:numRef>
          </c:cat>
          <c:val>
            <c:numRef>
              <c:f>'18'!$B$8:$Q$8</c:f>
              <c:numCache>
                <c:formatCode>0%</c:formatCode>
                <c:ptCount val="6"/>
                <c:pt idx="0">
                  <c:v>0.21094951618771907</c:v>
                </c:pt>
                <c:pt idx="1">
                  <c:v>0.19443362777045639</c:v>
                </c:pt>
                <c:pt idx="2">
                  <c:v>0.17842835351812278</c:v>
                </c:pt>
                <c:pt idx="3">
                  <c:v>0.17068988724872439</c:v>
                </c:pt>
                <c:pt idx="4">
                  <c:v>0.14409003821772709</c:v>
                </c:pt>
                <c:pt idx="5">
                  <c:v>0.12362107823578242</c:v>
                </c:pt>
              </c:numCache>
            </c:numRef>
          </c:val>
          <c:smooth val="0"/>
          <c:extLst xmlns:c16r2="http://schemas.microsoft.com/office/drawing/2015/06/chart">
            <c:ext xmlns:c16="http://schemas.microsoft.com/office/drawing/2014/chart" uri="{C3380CC4-5D6E-409C-BE32-E72D297353CC}">
              <c16:uniqueId val="{00000000-0553-4779-88F5-E3007D41BDBC}"/>
            </c:ext>
          </c:extLst>
        </c:ser>
        <c:ser>
          <c:idx val="1"/>
          <c:order val="1"/>
          <c:tx>
            <c:strRef>
              <c:f>'18'!$A$9</c:f>
              <c:strCache>
                <c:ptCount val="1"/>
                <c:pt idx="0">
                  <c:v>PIB</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B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'18'!$B$7:$Q$7</c:f>
              <c:numCache>
                <c:formatCode>General</c:formatCode>
                <c:ptCount val="6"/>
                <c:pt idx="0">
                  <c:v>2012</c:v>
                </c:pt>
                <c:pt idx="1">
                  <c:v>2013</c:v>
                </c:pt>
                <c:pt idx="2">
                  <c:v>2014</c:v>
                </c:pt>
                <c:pt idx="3">
                  <c:v>2015</c:v>
                </c:pt>
                <c:pt idx="4">
                  <c:v>2016</c:v>
                </c:pt>
                <c:pt idx="5">
                  <c:v>2017</c:v>
                </c:pt>
              </c:numCache>
            </c:numRef>
          </c:cat>
          <c:val>
            <c:numRef>
              <c:f>'18'!$B$9:$Q$9</c:f>
              <c:numCache>
                <c:formatCode>0.00%</c:formatCode>
                <c:ptCount val="6"/>
                <c:pt idx="0">
                  <c:v>5.1200000000000002E-2</c:v>
                </c:pt>
                <c:pt idx="1">
                  <c:v>6.8000000000000005E-2</c:v>
                </c:pt>
                <c:pt idx="2">
                  <c:v>5.4600000000000003E-2</c:v>
                </c:pt>
                <c:pt idx="3">
                  <c:v>4.8599999999999997E-2</c:v>
                </c:pt>
                <c:pt idx="4">
                  <c:v>4.2599999999999999E-2</c:v>
                </c:pt>
                <c:pt idx="5">
                  <c:v>4.2000000000000003E-2</c:v>
                </c:pt>
              </c:numCache>
            </c:numRef>
          </c:val>
          <c:smooth val="0"/>
          <c:extLst xmlns:c16r2="http://schemas.microsoft.com/office/drawing/2015/06/chart">
            <c:ext xmlns:c16="http://schemas.microsoft.com/office/drawing/2014/chart" uri="{C3380CC4-5D6E-409C-BE32-E72D297353CC}">
              <c16:uniqueId val="{00000001-0553-4779-88F5-E3007D41BDBC}"/>
            </c:ext>
          </c:extLst>
        </c:ser>
        <c:dLbls>
          <c:dLblPos val="ctr"/>
          <c:showLegendKey val="0"/>
          <c:showVal val="1"/>
          <c:showCatName val="0"/>
          <c:showSerName val="0"/>
          <c:showPercent val="0"/>
          <c:showBubbleSize val="0"/>
        </c:dLbls>
        <c:marker val="1"/>
        <c:smooth val="0"/>
        <c:axId val="374876272"/>
        <c:axId val="597180544"/>
      </c:lineChart>
      <c:catAx>
        <c:axId val="3748762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BO"/>
          </a:p>
        </c:txPr>
        <c:crossAx val="597180544"/>
        <c:crosses val="autoZero"/>
        <c:auto val="1"/>
        <c:lblAlgn val="ctr"/>
        <c:lblOffset val="100"/>
        <c:noMultiLvlLbl val="0"/>
      </c:catAx>
      <c:valAx>
        <c:axId val="59718054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748762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B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BO"/>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s-BO" sz="1400" b="1"/>
              <a:t>DIFERENCIA DE MEDIAS DE TASAS DE CRECIMIENTO</a:t>
            </a:r>
            <a:r>
              <a:rPr lang="es-BO" sz="1400" b="1" baseline="0"/>
              <a:t>  DESPUÉS DE LAS MEDIDAS</a:t>
            </a:r>
            <a:endParaRPr lang="es-BO" sz="1400"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s-BO"/>
        </a:p>
      </c:txPr>
    </c:title>
    <c:autoTitleDeleted val="0"/>
    <c:plotArea>
      <c:layout/>
      <c:barChart>
        <c:barDir val="col"/>
        <c:grouping val="clustered"/>
        <c:varyColors val="0"/>
        <c:ser>
          <c:idx val="0"/>
          <c:order val="0"/>
          <c:tx>
            <c:strRef>
              <c:f>'CARTERA TOTAL, PROD, VIV'!$I$19</c:f>
              <c:strCache>
                <c:ptCount val="1"/>
                <c:pt idx="0">
                  <c:v>CARTERA 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'CARTERA TOTAL, PROD, VIV'!$L$19</c:f>
              <c:numCache>
                <c:formatCode>0.00%</c:formatCode>
                <c:ptCount val="1"/>
                <c:pt idx="0">
                  <c:v>-4.8470164591354781E-2</c:v>
                </c:pt>
              </c:numCache>
            </c:numRef>
          </c:val>
          <c:extLst xmlns:c16r2="http://schemas.microsoft.com/office/drawing/2015/06/chart">
            <c:ext xmlns:c16="http://schemas.microsoft.com/office/drawing/2014/chart" uri="{C3380CC4-5D6E-409C-BE32-E72D297353CC}">
              <c16:uniqueId val="{00000000-E25B-481E-AB4D-A24DEE7F7049}"/>
            </c:ext>
          </c:extLst>
        </c:ser>
        <c:ser>
          <c:idx val="1"/>
          <c:order val="1"/>
          <c:tx>
            <c:strRef>
              <c:f>'CARTERA TOTAL, PROD, VIV'!$I$20</c:f>
              <c:strCache>
                <c:ptCount val="1"/>
                <c:pt idx="0">
                  <c:v>DEPOSITOS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'CARTERA TOTAL, PROD, VIV'!$L$20</c:f>
              <c:numCache>
                <c:formatCode>0.00%</c:formatCode>
                <c:ptCount val="1"/>
                <c:pt idx="0">
                  <c:v>-6.8267372117951933E-2</c:v>
                </c:pt>
              </c:numCache>
            </c:numRef>
          </c:val>
          <c:extLst xmlns:c16r2="http://schemas.microsoft.com/office/drawing/2015/06/chart">
            <c:ext xmlns:c16="http://schemas.microsoft.com/office/drawing/2014/chart" uri="{C3380CC4-5D6E-409C-BE32-E72D297353CC}">
              <c16:uniqueId val="{00000001-E25B-481E-AB4D-A24DEE7F7049}"/>
            </c:ext>
          </c:extLst>
        </c:ser>
        <c:ser>
          <c:idx val="2"/>
          <c:order val="2"/>
          <c:tx>
            <c:strRef>
              <c:f>'CARTERA TOTAL, PROD, VIV'!$I$21</c:f>
              <c:strCache>
                <c:ptCount val="1"/>
                <c:pt idx="0">
                  <c:v>N° DE PRESTATARIOS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'CARTERA TOTAL, PROD, VIV'!$L$21</c:f>
              <c:numCache>
                <c:formatCode>0.00%</c:formatCode>
                <c:ptCount val="1"/>
                <c:pt idx="0">
                  <c:v>-6.4306501176307762E-2</c:v>
                </c:pt>
              </c:numCache>
            </c:numRef>
          </c:val>
          <c:extLst xmlns:c16r2="http://schemas.microsoft.com/office/drawing/2015/06/chart">
            <c:ext xmlns:c16="http://schemas.microsoft.com/office/drawing/2014/chart" uri="{C3380CC4-5D6E-409C-BE32-E72D297353CC}">
              <c16:uniqueId val="{00000002-E25B-481E-AB4D-A24DEE7F7049}"/>
            </c:ext>
          </c:extLst>
        </c:ser>
        <c:ser>
          <c:idx val="3"/>
          <c:order val="3"/>
          <c:tx>
            <c:strRef>
              <c:f>'CARTERA TOTAL, PROD, VIV'!$I$22</c:f>
              <c:strCache>
                <c:ptCount val="1"/>
                <c:pt idx="0">
                  <c:v>CARTERA PRODUCTIVA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'CARTERA TOTAL, PROD, VIV'!$L$22</c:f>
              <c:numCache>
                <c:formatCode>0.00%</c:formatCode>
                <c:ptCount val="1"/>
                <c:pt idx="0">
                  <c:v>9.4848717938916444E-2</c:v>
                </c:pt>
              </c:numCache>
            </c:numRef>
          </c:val>
          <c:extLst xmlns:c16r2="http://schemas.microsoft.com/office/drawing/2015/06/chart">
            <c:ext xmlns:c16="http://schemas.microsoft.com/office/drawing/2014/chart" uri="{C3380CC4-5D6E-409C-BE32-E72D297353CC}">
              <c16:uniqueId val="{00000003-E25B-481E-AB4D-A24DEE7F7049}"/>
            </c:ext>
          </c:extLst>
        </c:ser>
        <c:ser>
          <c:idx val="4"/>
          <c:order val="4"/>
          <c:tx>
            <c:strRef>
              <c:f>'CARTERA TOTAL, PROD, VIV'!$I$23</c:f>
              <c:strCache>
                <c:ptCount val="1"/>
                <c:pt idx="0">
                  <c:v>CARTERA DE VIVIENDA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'CARTERA TOTAL, PROD, VIV'!$L$23</c:f>
              <c:numCache>
                <c:formatCode>0.00%</c:formatCode>
                <c:ptCount val="1"/>
                <c:pt idx="0">
                  <c:v>2.8400000000000009E-2</c:v>
                </c:pt>
              </c:numCache>
            </c:numRef>
          </c:val>
          <c:extLst xmlns:c16r2="http://schemas.microsoft.com/office/drawing/2015/06/chart">
            <c:ext xmlns:c16="http://schemas.microsoft.com/office/drawing/2014/chart" uri="{C3380CC4-5D6E-409C-BE32-E72D297353CC}">
              <c16:uniqueId val="{00000004-E25B-481E-AB4D-A24DEE7F7049}"/>
            </c:ext>
          </c:extLst>
        </c:ser>
        <c:dLbls>
          <c:dLblPos val="inEnd"/>
          <c:showLegendKey val="0"/>
          <c:showVal val="1"/>
          <c:showCatName val="0"/>
          <c:showSerName val="0"/>
          <c:showPercent val="0"/>
          <c:showBubbleSize val="0"/>
        </c:dLbls>
        <c:gapWidth val="219"/>
        <c:overlap val="-27"/>
        <c:axId val="597179368"/>
        <c:axId val="597179760"/>
      </c:barChart>
      <c:catAx>
        <c:axId val="597179368"/>
        <c:scaling>
          <c:orientation val="minMax"/>
        </c:scaling>
        <c:delete val="1"/>
        <c:axPos val="b"/>
        <c:numFmt formatCode="General" sourceLinked="1"/>
        <c:majorTickMark val="none"/>
        <c:minorTickMark val="none"/>
        <c:tickLblPos val="nextTo"/>
        <c:crossAx val="597179760"/>
        <c:crosses val="autoZero"/>
        <c:auto val="1"/>
        <c:lblAlgn val="ctr"/>
        <c:lblOffset val="100"/>
        <c:noMultiLvlLbl val="0"/>
      </c:catAx>
      <c:valAx>
        <c:axId val="5971797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s-BO"/>
          </a:p>
        </c:txPr>
        <c:crossAx val="597179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B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B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s-BO" sz="1400" b="1"/>
              <a:t>DIFERENCIA DE MEDIAS</a:t>
            </a:r>
            <a:r>
              <a:rPr lang="es-BO" sz="1400" b="1" baseline="0"/>
              <a:t> </a:t>
            </a:r>
            <a:r>
              <a:rPr lang="es-BO" sz="1400" b="1"/>
              <a:t>DE TASAS DE CRECIMIENTO</a:t>
            </a:r>
            <a:r>
              <a:rPr lang="es-BO" sz="1400" b="1" baseline="0"/>
              <a:t> DESPUÉS DE LAS MEDIDAS</a:t>
            </a:r>
            <a:endParaRPr lang="es-BO" sz="1400" b="1"/>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s-BO"/>
        </a:p>
      </c:txPr>
    </c:title>
    <c:autoTitleDeleted val="0"/>
    <c:plotArea>
      <c:layout/>
      <c:barChart>
        <c:barDir val="col"/>
        <c:grouping val="clustered"/>
        <c:varyColors val="0"/>
        <c:ser>
          <c:idx val="0"/>
          <c:order val="0"/>
          <c:tx>
            <c:strRef>
              <c:f>'GANANCIAS, AGENCIAS, EMPLEADOS'!$I$16</c:f>
              <c:strCache>
                <c:ptCount val="1"/>
                <c:pt idx="0">
                  <c:v>GANANCIAS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'GANANCIAS, AGENCIAS, EMPLEADOS'!$L$16</c:f>
              <c:numCache>
                <c:formatCode>0.00%</c:formatCode>
                <c:ptCount val="1"/>
                <c:pt idx="0">
                  <c:v>-7.1678391704542321E-2</c:v>
                </c:pt>
              </c:numCache>
            </c:numRef>
          </c:val>
          <c:extLst xmlns:c16r2="http://schemas.microsoft.com/office/drawing/2015/06/chart">
            <c:ext xmlns:c16="http://schemas.microsoft.com/office/drawing/2014/chart" uri="{C3380CC4-5D6E-409C-BE32-E72D297353CC}">
              <c16:uniqueId val="{00000000-BE76-443D-8169-A92B71897014}"/>
            </c:ext>
          </c:extLst>
        </c:ser>
        <c:ser>
          <c:idx val="1"/>
          <c:order val="1"/>
          <c:tx>
            <c:strRef>
              <c:f>'GANANCIAS, AGENCIAS, EMPLEADOS'!$I$17</c:f>
              <c:strCache>
                <c:ptCount val="1"/>
                <c:pt idx="0">
                  <c:v>N° DE SUCURSALES Y AGENCIAS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'GANANCIAS, AGENCIAS, EMPLEADOS'!$L$17</c:f>
              <c:numCache>
                <c:formatCode>0.00%</c:formatCode>
                <c:ptCount val="1"/>
                <c:pt idx="0">
                  <c:v>-6.2261317535950648E-2</c:v>
                </c:pt>
              </c:numCache>
            </c:numRef>
          </c:val>
          <c:extLst xmlns:c16r2="http://schemas.microsoft.com/office/drawing/2015/06/chart">
            <c:ext xmlns:c16="http://schemas.microsoft.com/office/drawing/2014/chart" uri="{C3380CC4-5D6E-409C-BE32-E72D297353CC}">
              <c16:uniqueId val="{00000001-BE76-443D-8169-A92B71897014}"/>
            </c:ext>
          </c:extLst>
        </c:ser>
        <c:ser>
          <c:idx val="2"/>
          <c:order val="2"/>
          <c:tx>
            <c:strRef>
              <c:f>'GANANCIAS, AGENCIAS, EMPLEADOS'!$I$18</c:f>
              <c:strCache>
                <c:ptCount val="1"/>
                <c:pt idx="0">
                  <c:v> N° DE EMPLEADOS </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B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'GANANCIAS, AGENCIAS, EMPLEADOS'!$L$18</c:f>
              <c:numCache>
                <c:formatCode>0.00%</c:formatCode>
                <c:ptCount val="1"/>
                <c:pt idx="0">
                  <c:v>-7.4058142768250637E-2</c:v>
                </c:pt>
              </c:numCache>
            </c:numRef>
          </c:val>
          <c:extLst xmlns:c16r2="http://schemas.microsoft.com/office/drawing/2015/06/chart">
            <c:ext xmlns:c16="http://schemas.microsoft.com/office/drawing/2014/chart" uri="{C3380CC4-5D6E-409C-BE32-E72D297353CC}">
              <c16:uniqueId val="{00000002-BE76-443D-8169-A92B71897014}"/>
            </c:ext>
          </c:extLst>
        </c:ser>
        <c:dLbls>
          <c:dLblPos val="inEnd"/>
          <c:showLegendKey val="0"/>
          <c:showVal val="1"/>
          <c:showCatName val="0"/>
          <c:showSerName val="0"/>
          <c:showPercent val="0"/>
          <c:showBubbleSize val="0"/>
        </c:dLbls>
        <c:gapWidth val="219"/>
        <c:overlap val="-27"/>
        <c:axId val="479275048"/>
        <c:axId val="479274656"/>
      </c:barChart>
      <c:catAx>
        <c:axId val="479275048"/>
        <c:scaling>
          <c:orientation val="minMax"/>
        </c:scaling>
        <c:delete val="1"/>
        <c:axPos val="b"/>
        <c:numFmt formatCode="General" sourceLinked="1"/>
        <c:majorTickMark val="none"/>
        <c:minorTickMark val="none"/>
        <c:tickLblPos val="nextTo"/>
        <c:crossAx val="479274656"/>
        <c:crosses val="autoZero"/>
        <c:auto val="1"/>
        <c:lblAlgn val="ctr"/>
        <c:lblOffset val="100"/>
        <c:noMultiLvlLbl val="0"/>
      </c:catAx>
      <c:valAx>
        <c:axId val="4792746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s-BO"/>
          </a:p>
        </c:txPr>
        <c:crossAx val="479275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mn-lt"/>
              <a:ea typeface="+mn-ea"/>
              <a:cs typeface="+mn-cs"/>
            </a:defRPr>
          </a:pPr>
          <a:endParaRPr lang="es-B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B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0.34988</cdr:x>
      <cdr:y>0.30398</cdr:y>
    </cdr:from>
    <cdr:to>
      <cdr:x>0.35035</cdr:x>
      <cdr:y>0.78237</cdr:y>
    </cdr:to>
    <cdr:cxnSp macro="">
      <cdr:nvCxnSpPr>
        <cdr:cNvPr id="2" name="Conector recto 1"/>
        <cdr:cNvCxnSpPr/>
      </cdr:nvCxnSpPr>
      <cdr:spPr>
        <a:xfrm xmlns:a="http://schemas.openxmlformats.org/drawingml/2006/main">
          <a:off x="1599660" y="833877"/>
          <a:ext cx="2163" cy="1312330"/>
        </a:xfrm>
        <a:prstGeom xmlns:a="http://schemas.openxmlformats.org/drawingml/2006/main" prst="line">
          <a:avLst/>
        </a:prstGeom>
        <a:ln xmlns:a="http://schemas.openxmlformats.org/drawingml/2006/main" w="28575">
          <a:solidFill>
            <a:srgbClr val="FF0000"/>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0.47565</cdr:x>
      <cdr:y>0.30004</cdr:y>
    </cdr:from>
    <cdr:to>
      <cdr:x>0.47872</cdr:x>
      <cdr:y>0.7804</cdr:y>
    </cdr:to>
    <cdr:cxnSp macro="">
      <cdr:nvCxnSpPr>
        <cdr:cNvPr id="3" name="Conector recto 2"/>
        <cdr:cNvCxnSpPr/>
      </cdr:nvCxnSpPr>
      <cdr:spPr>
        <a:xfrm xmlns:a="http://schemas.openxmlformats.org/drawingml/2006/main" flipH="1">
          <a:off x="2174673" y="823068"/>
          <a:ext cx="14051" cy="1317735"/>
        </a:xfrm>
        <a:prstGeom xmlns:a="http://schemas.openxmlformats.org/drawingml/2006/main" prst="line">
          <a:avLst/>
        </a:prstGeom>
        <a:ln xmlns:a="http://schemas.openxmlformats.org/drawingml/2006/main" w="28575">
          <a:solidFill>
            <a:srgbClr val="FF0000"/>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Xav</b:Tag>
    <b:SourceType>InternetSite</b:SourceType>
    <b:Guid>{F10EEA8D-3216-4358-8B02-15B5B9B9B28A}</b:Guid>
    <b:Title>CENTRO LATINOAMERICANO PARA LA ADMNISTRACION DEL DESARROLLO</b:Title>
    <b:LCID>es-BO</b:LCID>
    <b:Author>
      <b:Author>
        <b:NameList>
          <b:Person>
            <b:Last>Nogales</b:Last>
            <b:First>Xavier</b:First>
          </b:Person>
        </b:NameList>
      </b:Author>
    </b:Author>
    <b:RefOrder>1</b:RefOrder>
  </b:Source>
  <b:Source>
    <b:Tag>EST13</b:Tag>
    <b:SourceType>Report</b:SourceType>
    <b:Guid>{40C6F53E-F10E-4808-8E61-1CA455700C56}</b:Guid>
    <b:Title>LEY 393</b:Title>
    <b:Year>2013</b:Year>
    <b:Author>
      <b:Author>
        <b:NameList>
          <b:Person>
            <b:Last>BOLIVIA</b:Last>
            <b:First>ESTADO</b:First>
            <b:Middle>PLURINACIONAL DE</b:Middle>
          </b:Person>
        </b:NameList>
      </b:Author>
    </b:Author>
    <b:Publisher>GACETA OFICIAL DE BOLIVIA</b:Publisher>
    <b:RefOrder>8</b:RefOrder>
  </b:Source>
  <b:Source>
    <b:Tag>LEY</b:Tag>
    <b:SourceType>Report</b:SourceType>
    <b:Guid>{D50939DC-80A3-41C9-8C11-990F6852E152}</b:Guid>
    <b:Author>
      <b:Author>
        <b:NameList>
          <b:Person>
            <b:Last>393</b:Last>
            <b:First>LEY</b:First>
          </b:Person>
        </b:NameList>
      </b:Author>
    </b:Author>
    <b:RefOrder>9</b:RefOrder>
  </b:Source>
  <b:Source>
    <b:Tag>Gac18</b:Tag>
    <b:SourceType>InternetSite</b:SourceType>
    <b:Guid>{41668974-CBE8-423C-8C63-A380541A238A}</b:Guid>
    <b:Title>Gaceta Oficial de Bolivia</b:Title>
    <b:Year>2018</b:Year>
    <b:Month>mayo</b:Month>
    <b:Day>02</b:Day>
    <b:URL>http://www.gacetaoficialdebolivia.gob.bo/index.php/normas/buscar</b:URL>
    <b:RefOrder>10</b:RefOrder>
  </b:Source>
  <b:Source>
    <b:Tag>Ban18</b:Tag>
    <b:SourceType>InternetSite</b:SourceType>
    <b:Guid>{7A8A3ECD-311D-4C80-BEA4-6BEA48BF5F95}</b:Guid>
    <b:Title>Banco Central de Bolivia</b:Title>
    <b:Year>2018</b:Year>
    <b:Author>
      <b:Author>
        <b:NameList>
          <b:Person>
            <b:Last>Bolivia</b:Last>
            <b:First>Banco</b:First>
            <b:Middle>Central de</b:Middle>
          </b:Person>
        </b:NameList>
      </b:Author>
    </b:Author>
    <b:Month>mayo</b:Month>
    <b:Day>02</b:Day>
    <b:URL>https://www.bcb.gob.bo/?q=content/2014-ds-2055-tasas-de-inter%C3%A9s-m%C3%ADnimas-y-m%C3%A1ximas</b:URL>
    <b:RefOrder>11</b:RefOrder>
  </b:Source>
  <b:Source>
    <b:Tag>Agu16</b:Tag>
    <b:SourceType>Book</b:SourceType>
    <b:Guid>{9A783058-0D54-44D5-89A8-FC31D0CF98A9}</b:Guid>
    <b:Title>EFECTOS DE LA REGULAACION A TASAS DE INTERES EN EL MERCADO DE CREDITOS BANACARIOS</b:Title>
    <b:Year>2016</b:Year>
    <b:Author>
      <b:Author>
        <b:NameList>
          <b:Person>
            <b:Last>Hurtado</b:Last>
            <b:First>Agustin</b:First>
          </b:Person>
        </b:NameList>
      </b:Author>
    </b:Author>
    <b:City>SANTIAGO</b:City>
    <b:Publisher>UNIVERSIDAD DE CHILE</b:Publisher>
    <b:RefOrder>2</b:RefOrder>
  </b:Source>
  <b:Source>
    <b:Tag>POD16</b:Tag>
    <b:SourceType>DocumentFromInternetSite</b:SourceType>
    <b:Guid>{020A376F-93DC-4759-8556-46236150CBC3}</b:Guid>
    <b:Title>GACETA OFICIAL DE BOLIVIA</b:Title>
    <b:Year>2016</b:Year>
    <b:Author>
      <b:Author>
        <b:NameList>
          <b:Person>
            <b:Last>BOLIVIA</b:Last>
            <b:First>PODER</b:First>
            <b:Middle>EJECUTIVO GOBIENO DE</b:Middle>
          </b:Person>
        </b:NameList>
      </b:Author>
    </b:Author>
    <b:Month>Noviembre</b:Month>
    <b:Day>30</b:Day>
    <b:RefOrder>5</b:RefOrder>
  </b:Source>
  <b:Source>
    <b:Tag>SBE08</b:Tag>
    <b:SourceType>Book</b:SourceType>
    <b:Guid>{0F89CE59-51B4-465E-98C5-7FD123C83490}</b:Guid>
    <b:Title>GUIAS PARA LA GESTION DE RIESGOS</b:Title>
    <b:Year>2008</b:Year>
    <b:Author>
      <b:Author>
        <b:NameList>
          <b:Person>
            <b:Last>SBEF</b:Last>
          </b:Person>
        </b:NameList>
      </b:Author>
    </b:Author>
    <b:City>LA PAZ</b:City>
    <b:Publisher>ARTES GRAFICAS</b:Publisher>
    <b:RefOrder>6</b:RefOrder>
  </b:Source>
  <b:Source>
    <b:Tag>GAC14</b:Tag>
    <b:SourceType>DocumentFromInternetSite</b:SourceType>
    <b:Guid>{3B7EF221-C1B4-4B88-BBDE-0BC9F7EE1A98}</b:Guid>
    <b:Title>GACETA OFICIAL DE BOLIVIA</b:Title>
    <b:Year>2014</b:Year>
    <b:Month>JULIO</b:Month>
    <b:Day>9</b:Day>
    <b:RefOrder>7</b:RefOrder>
  </b:Source>
  <b:Source>
    <b:Tag>Oma15</b:Tag>
    <b:SourceType>JournalArticle</b:SourceType>
    <b:Guid>{1DACC01C-C38C-46BC-89C1-CCEBD32AE3D2}</b:Guid>
    <b:Title>El efecto de l regulación de tasas al crédito productivo</b:Title>
    <b:Year>2015</b:Year>
    <b:Author>
      <b:Author>
        <b:NameList>
          <b:Person>
            <b:Last>Velasco</b:Last>
            <b:First>Omar</b:First>
          </b:Person>
        </b:NameList>
      </b:Author>
    </b:Author>
    <b:JournalName>Ministerrio de Economía de Bolivia</b:JournalName>
    <b:Pages>40</b:Pages>
    <b:RefOrder>3</b:RefOrder>
  </b:Source>
  <b:Source>
    <b:Tag>Jos14</b:Tag>
    <b:SourceType>InternetSite</b:SourceType>
    <b:Guid>{5187FC64-521A-4585-B1B4-A2C44C2D3989}</b:Guid>
    <b:Title>CRECER</b:Title>
    <b:Year>2014</b:Year>
    <b:Author>
      <b:Author>
        <b:NameList>
          <b:Person>
            <b:Last>Auad</b:Last>
            <b:First>José</b:First>
          </b:Person>
        </b:NameList>
      </b:Author>
    </b:Author>
    <b:InternetSiteTitle>www.crecer.org</b:InternetSiteTitle>
    <b:Month>Abril</b:Month>
    <b:Day>18</b:Day>
    <b:URL>http://crecer.org.bo/index.php?mc=37&amp;next_p=1&amp;&amp;cod=36#crecer</b:URL>
    <b:RefOrder>4</b:RefOrder>
  </b:Source>
</b:Sources>
</file>

<file path=customXml/itemProps1.xml><?xml version="1.0" encoding="utf-8"?>
<ds:datastoreItem xmlns:ds="http://schemas.openxmlformats.org/officeDocument/2006/customXml" ds:itemID="{8E3E0B6C-3513-47D3-BD55-F5666580B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6016</Words>
  <Characters>33094</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dc:creator>
  <cp:keywords/>
  <dc:description/>
  <cp:lastModifiedBy>darancibia</cp:lastModifiedBy>
  <cp:revision>2</cp:revision>
  <cp:lastPrinted>2018-05-04T22:07:00Z</cp:lastPrinted>
  <dcterms:created xsi:type="dcterms:W3CDTF">2020-04-16T14:38:00Z</dcterms:created>
  <dcterms:modified xsi:type="dcterms:W3CDTF">2020-04-16T14:38:00Z</dcterms:modified>
</cp:coreProperties>
</file>