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4044E2" w:rsidRDefault="008973E4">
      <w:pPr>
        <w:spacing w:after="160" w:line="240" w:lineRule="auto"/>
        <w:jc w:val="both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Ciencias puras y naturales</w:t>
      </w:r>
    </w:p>
    <w:p w14:paraId="00000002" w14:textId="77777777" w:rsidR="004044E2" w:rsidRDefault="004044E2">
      <w:pPr>
        <w:spacing w:after="160" w:line="240" w:lineRule="auto"/>
        <w:jc w:val="center"/>
        <w:rPr>
          <w:b/>
          <w:sz w:val="24"/>
          <w:szCs w:val="24"/>
        </w:rPr>
      </w:pPr>
    </w:p>
    <w:p w14:paraId="00000003" w14:textId="77777777" w:rsidR="004044E2" w:rsidRDefault="008973E4">
      <w:pPr>
        <w:spacing w:after="16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PROPIEDADES SENSORIALES, FISICOQUÍMICAS Y ANTIOXIDANTES DEL PITÓN </w:t>
      </w:r>
      <w:r>
        <w:rPr>
          <w:b/>
          <w:i/>
          <w:sz w:val="24"/>
          <w:szCs w:val="24"/>
        </w:rPr>
        <w:t>(</w:t>
      </w:r>
      <w:proofErr w:type="spellStart"/>
      <w:r>
        <w:rPr>
          <w:b/>
          <w:i/>
          <w:sz w:val="24"/>
          <w:szCs w:val="24"/>
        </w:rPr>
        <w:t>Talisia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esculenta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Radlk</w:t>
      </w:r>
      <w:proofErr w:type="spellEnd"/>
      <w:r>
        <w:rPr>
          <w:b/>
          <w:sz w:val="24"/>
          <w:szCs w:val="24"/>
        </w:rPr>
        <w:t>.</w:t>
      </w:r>
      <w:r>
        <w:rPr>
          <w:b/>
          <w:i/>
          <w:sz w:val="24"/>
          <w:szCs w:val="24"/>
        </w:rPr>
        <w:t xml:space="preserve">) </w:t>
      </w:r>
    </w:p>
    <w:p w14:paraId="00000004" w14:textId="77777777" w:rsidR="004044E2" w:rsidRPr="008973E4" w:rsidRDefault="008973E4">
      <w:pPr>
        <w:spacing w:after="160" w:line="240" w:lineRule="auto"/>
        <w:jc w:val="center"/>
        <w:rPr>
          <w:b/>
          <w:i/>
          <w:sz w:val="24"/>
          <w:szCs w:val="24"/>
          <w:lang w:val="en-US"/>
        </w:rPr>
      </w:pPr>
      <w:r w:rsidRPr="008973E4">
        <w:rPr>
          <w:b/>
          <w:sz w:val="24"/>
          <w:szCs w:val="24"/>
          <w:lang w:val="en-US"/>
        </w:rPr>
        <w:t>Sensorial, physicochemical and antioxidant properties in the pitón (</w:t>
      </w:r>
      <w:r w:rsidRPr="008973E4">
        <w:rPr>
          <w:b/>
          <w:i/>
          <w:sz w:val="24"/>
          <w:szCs w:val="24"/>
          <w:lang w:val="en-US"/>
        </w:rPr>
        <w:t>Talisia esculenta</w:t>
      </w:r>
      <w:r w:rsidRPr="008973E4">
        <w:rPr>
          <w:b/>
          <w:sz w:val="24"/>
          <w:szCs w:val="24"/>
          <w:lang w:val="en-US"/>
        </w:rPr>
        <w:t xml:space="preserve"> Radlk.</w:t>
      </w:r>
      <w:r w:rsidRPr="008973E4">
        <w:rPr>
          <w:b/>
          <w:i/>
          <w:sz w:val="24"/>
          <w:szCs w:val="24"/>
          <w:lang w:val="en-US"/>
        </w:rPr>
        <w:t>)</w:t>
      </w:r>
    </w:p>
    <w:p w14:paraId="00000005" w14:textId="77777777" w:rsidR="004044E2" w:rsidRDefault="008973E4">
      <w:pPr>
        <w:spacing w:after="160" w:line="240" w:lineRule="auto"/>
        <w:jc w:val="center"/>
        <w:rPr>
          <w:b/>
          <w:vertAlign w:val="superscript"/>
        </w:rPr>
      </w:pPr>
      <w:r>
        <w:rPr>
          <w:b/>
          <w:u w:val="single"/>
        </w:rPr>
        <w:t xml:space="preserve">Limpias Hurtado </w:t>
      </w:r>
      <w:proofErr w:type="spellStart"/>
      <w:r>
        <w:rPr>
          <w:b/>
          <w:u w:val="single"/>
        </w:rPr>
        <w:t>Jose</w:t>
      </w:r>
      <w:proofErr w:type="spellEnd"/>
      <w:r>
        <w:rPr>
          <w:b/>
          <w:u w:val="single"/>
        </w:rPr>
        <w:t xml:space="preserve"> A</w:t>
      </w:r>
      <w:r>
        <w:rPr>
          <w:b/>
          <w:vertAlign w:val="superscript"/>
        </w:rPr>
        <w:t>1</w:t>
      </w:r>
      <w:r>
        <w:rPr>
          <w:b/>
        </w:rPr>
        <w:t>;</w:t>
      </w:r>
      <w:r>
        <w:rPr>
          <w:b/>
        </w:rPr>
        <w:t xml:space="preserve"> Montellano Duran Natalia</w:t>
      </w:r>
      <w:r>
        <w:rPr>
          <w:b/>
          <w:vertAlign w:val="superscript"/>
        </w:rPr>
        <w:t>1</w:t>
      </w:r>
    </w:p>
    <w:p w14:paraId="00000006" w14:textId="77777777" w:rsidR="004044E2" w:rsidRDefault="008973E4">
      <w:pPr>
        <w:spacing w:line="240" w:lineRule="auto"/>
        <w:jc w:val="center"/>
      </w:pPr>
      <w:r>
        <w:rPr>
          <w:vertAlign w:val="superscript"/>
        </w:rPr>
        <w:t>1</w:t>
      </w:r>
      <w:r>
        <w:t xml:space="preserve"> Biotecnología, Campus Km 9 Norte, Universidad Católica Boliviana San Pablo, Santa Cruz de la Sierra, Bolivia</w:t>
      </w:r>
    </w:p>
    <w:p w14:paraId="00000007" w14:textId="77777777" w:rsidR="004044E2" w:rsidRDefault="008973E4">
      <w:pPr>
        <w:spacing w:line="240" w:lineRule="auto"/>
        <w:jc w:val="center"/>
        <w:rPr>
          <w:b/>
        </w:rPr>
      </w:pPr>
      <w:r>
        <w:rPr>
          <w:b/>
        </w:rPr>
        <w:t>josealbertolimpias16@gmail.com</w:t>
      </w:r>
    </w:p>
    <w:p w14:paraId="00000008" w14:textId="77777777" w:rsidR="004044E2" w:rsidRDefault="004044E2">
      <w:pPr>
        <w:spacing w:after="160" w:line="240" w:lineRule="auto"/>
        <w:jc w:val="both"/>
        <w:rPr>
          <w:sz w:val="24"/>
          <w:szCs w:val="24"/>
        </w:rPr>
      </w:pPr>
    </w:p>
    <w:p w14:paraId="00000009" w14:textId="77777777" w:rsidR="004044E2" w:rsidRDefault="008973E4">
      <w:pPr>
        <w:spacing w:after="160" w:line="240" w:lineRule="auto"/>
        <w:jc w:val="both"/>
      </w:pPr>
      <w:r>
        <w:t xml:space="preserve">El pitón </w:t>
      </w:r>
      <w:r>
        <w:rPr>
          <w:i/>
        </w:rPr>
        <w:t>(</w:t>
      </w:r>
      <w:proofErr w:type="spellStart"/>
      <w:r>
        <w:rPr>
          <w:i/>
        </w:rPr>
        <w:t>Talisia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esculenta</w:t>
      </w:r>
      <w:proofErr w:type="spellEnd"/>
      <w:r>
        <w:rPr>
          <w:i/>
        </w:rPr>
        <w:t xml:space="preserve"> </w:t>
      </w:r>
      <w:proofErr w:type="spellStart"/>
      <w:r>
        <w:t>Radlk</w:t>
      </w:r>
      <w:proofErr w:type="spellEnd"/>
      <w:r>
        <w:t xml:space="preserve">.) es un árbol de la familia </w:t>
      </w:r>
      <w:proofErr w:type="spellStart"/>
      <w:r>
        <w:rPr>
          <w:i/>
        </w:rPr>
        <w:t>Sapindaceae</w:t>
      </w:r>
      <w:proofErr w:type="spellEnd"/>
      <w:r>
        <w:t xml:space="preserve"> amazónica. S</w:t>
      </w:r>
      <w:r>
        <w:t xml:space="preserve">e han realizado estudios previos, pero no hay información del pitón boliviano. El objetivo de este trabajo es caracterizar sensorial y fisicoquímicamente al fruto y determinar la capacidad antioxidante de sus moléculas </w:t>
      </w:r>
      <w:proofErr w:type="spellStart"/>
      <w:r>
        <w:t>bioactivas</w:t>
      </w:r>
      <w:proofErr w:type="spellEnd"/>
      <w:r>
        <w:t>. Se midieron (largo: a, an</w:t>
      </w:r>
      <w:r>
        <w:t xml:space="preserve">cho: b) y pesaron frutos para determinar estándares morfológicos descriptivos. Se hizo un extracto del arilo y de la cáscara para determinar el pH. La humedad se determinó por pérdida de peso (60°C, 15 días). Se determinó el color con </w:t>
      </w:r>
      <w:proofErr w:type="spellStart"/>
      <w:r>
        <w:t>fotografias</w:t>
      </w:r>
      <w:proofErr w:type="spellEnd"/>
      <w:r>
        <w:t xml:space="preserve"> de alta c</w:t>
      </w:r>
      <w:r>
        <w:t xml:space="preserve">alidad y </w:t>
      </w:r>
      <w:proofErr w:type="spellStart"/>
      <w:r>
        <w:t>estandares</w:t>
      </w:r>
      <w:proofErr w:type="spellEnd"/>
      <w:r>
        <w:t xml:space="preserve"> de color digitalmente. La textura se determinó con un </w:t>
      </w:r>
      <w:proofErr w:type="spellStart"/>
      <w:r>
        <w:t>texturómetro</w:t>
      </w:r>
      <w:proofErr w:type="spellEnd"/>
      <w:r>
        <w:t xml:space="preserve"> (</w:t>
      </w:r>
      <w:proofErr w:type="spellStart"/>
      <w:r>
        <w:t>Brookfield</w:t>
      </w:r>
      <w:proofErr w:type="spellEnd"/>
      <w:r>
        <w:t xml:space="preserve"> CT3) haciendo análisis de perfil de textura con 2 punciones, sonda cónica (d=24mm, v=1mm/s, profundidad=6mm). Se prepararon extractos etanólicos (EE, 70%, 1:</w:t>
      </w:r>
      <w:r>
        <w:t>2) de cáscara y arilo (agitación 24h). Se midieron las actividades antioxidantes de los EE con los métodos de ABTS</w:t>
      </w:r>
      <w:r>
        <w:rPr>
          <w:vertAlign w:val="superscript"/>
        </w:rPr>
        <w:t>●</w:t>
      </w:r>
      <w:r>
        <w:t xml:space="preserve"> (734nm) y DPPH</w:t>
      </w:r>
      <w:r>
        <w:rPr>
          <w:vertAlign w:val="superscript"/>
        </w:rPr>
        <w:t xml:space="preserve">● </w:t>
      </w:r>
      <w:r>
        <w:t xml:space="preserve">(517nm), con curvas de </w:t>
      </w:r>
      <w:proofErr w:type="spellStart"/>
      <w:r>
        <w:t>Trolox</w:t>
      </w:r>
      <w:proofErr w:type="spellEnd"/>
      <w:r>
        <w:t xml:space="preserve">. También, se hicieron mediciones de flavonoides con una curva de </w:t>
      </w:r>
      <w:proofErr w:type="spellStart"/>
      <w:r>
        <w:t>quercetina</w:t>
      </w:r>
      <w:proofErr w:type="spellEnd"/>
      <w:r>
        <w:t>. Los tamaños diero</w:t>
      </w:r>
      <w:r>
        <w:t xml:space="preserve">n a: 26,4±0,8mm, y b: 38±1mm. El peso fue de: 14,6±0,6g. El pH del arilo fue 5 y el de cáscara 4,9. El %agua fue de 68±6%. Los parámetros de color fueron: L*=52±2, b*=28±5, a*=18±1, mostrando Croma=33±4, Tono=57±7, índice de amarillez=76±10. La dureza fue </w:t>
      </w:r>
      <w:r>
        <w:t>de 753±5g y la firmeza 190±20g. El ensayo de ABTS</w:t>
      </w:r>
      <w:r>
        <w:rPr>
          <w:vertAlign w:val="superscript"/>
        </w:rPr>
        <w:t>●</w:t>
      </w:r>
      <w:r>
        <w:t xml:space="preserve"> con los EE no mostró actividad antioxidante. En el arilo se obtuvo 5149 </w:t>
      </w:r>
      <w:proofErr w:type="spellStart"/>
      <w:r>
        <w:t>μmol</w:t>
      </w:r>
      <w:proofErr w:type="spellEnd"/>
      <w:r>
        <w:t xml:space="preserve"> </w:t>
      </w:r>
      <w:proofErr w:type="spellStart"/>
      <w:r>
        <w:t>Trolox</w:t>
      </w:r>
      <w:proofErr w:type="spellEnd"/>
      <w:r>
        <w:t>/g en el ensayo de DPPH</w:t>
      </w:r>
      <w:r>
        <w:rPr>
          <w:vertAlign w:val="superscript"/>
        </w:rPr>
        <w:t>●</w:t>
      </w:r>
      <w:r>
        <w:t>. La sensibilidad del método no permitió determinar la concentración en la cáscara. La cantidad de</w:t>
      </w:r>
      <w:r>
        <w:t xml:space="preserve"> flavonoides de la cáscara </w:t>
      </w:r>
      <w:proofErr w:type="spellStart"/>
      <w:r>
        <w:t>dió</w:t>
      </w:r>
      <w:proofErr w:type="spellEnd"/>
      <w:r>
        <w:t xml:space="preserve"> 217 </w:t>
      </w:r>
      <w:proofErr w:type="spellStart"/>
      <w:r>
        <w:t>ug</w:t>
      </w:r>
      <w:proofErr w:type="spellEnd"/>
      <w:r>
        <w:t>/</w:t>
      </w:r>
      <w:proofErr w:type="spellStart"/>
      <w:r>
        <w:t>mL</w:t>
      </w:r>
      <w:proofErr w:type="spellEnd"/>
      <w:r>
        <w:t xml:space="preserve"> y del arilo 8,3 </w:t>
      </w:r>
      <w:proofErr w:type="spellStart"/>
      <w:r>
        <w:t>ug</w:t>
      </w:r>
      <w:proofErr w:type="spellEnd"/>
      <w:r>
        <w:t>/</w:t>
      </w:r>
      <w:proofErr w:type="spellStart"/>
      <w:r>
        <w:t>mL</w:t>
      </w:r>
      <w:proofErr w:type="spellEnd"/>
      <w:r>
        <w:t>. Los pitones mostraron un tamaño y peso constante con un alto porcentaje de agua, su cáscara y arilo fueron ácidos. Su parámetro de color indicó una luminosidad media y tonalidad naranja. El TP</w:t>
      </w:r>
      <w:r>
        <w:t>A señala que el fruto no es pegajoso y su cáscara es blanda; además esta mostró mayor capacidad antioxidante que el arilo.</w:t>
      </w:r>
    </w:p>
    <w:p w14:paraId="0000000A" w14:textId="77777777" w:rsidR="004044E2" w:rsidRDefault="004044E2">
      <w:pPr>
        <w:spacing w:line="240" w:lineRule="auto"/>
        <w:ind w:left="850" w:hanging="630"/>
        <w:jc w:val="both"/>
        <w:rPr>
          <w:sz w:val="24"/>
          <w:szCs w:val="24"/>
        </w:rPr>
      </w:pPr>
    </w:p>
    <w:p w14:paraId="0000000B" w14:textId="77777777" w:rsidR="004044E2" w:rsidRDefault="008973E4">
      <w:pPr>
        <w:spacing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Agradecemos el </w:t>
      </w:r>
      <w:proofErr w:type="spellStart"/>
      <w:r>
        <w:rPr>
          <w:sz w:val="20"/>
          <w:szCs w:val="20"/>
        </w:rPr>
        <w:t>Grant</w:t>
      </w:r>
      <w:proofErr w:type="spellEnd"/>
      <w:r>
        <w:rPr>
          <w:sz w:val="20"/>
          <w:szCs w:val="20"/>
        </w:rPr>
        <w:t xml:space="preserve"> 4500406712 (IDRC 108392-001) de OWSD-UNESCO para el financiamiento del proyecto a la Dra. Natalia Montellano. </w:t>
      </w:r>
    </w:p>
    <w:sectPr w:rsidR="004044E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4E2"/>
    <w:rsid w:val="004044E2"/>
    <w:rsid w:val="00897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908E4C4-9526-44F2-BAE3-9394C10E1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-BO" w:eastAsia="es-BO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Docente Tiempo Completo 01</dc:creator>
  <cp:lastModifiedBy>Docente Tiempo Completo 01</cp:lastModifiedBy>
  <cp:revision>2</cp:revision>
  <dcterms:created xsi:type="dcterms:W3CDTF">2023-03-15T20:59:00Z</dcterms:created>
  <dcterms:modified xsi:type="dcterms:W3CDTF">2023-03-15T20:59:00Z</dcterms:modified>
</cp:coreProperties>
</file>